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DBAD0" w14:textId="421BD869" w:rsidR="00072B0A" w:rsidRPr="00FA1542" w:rsidRDefault="00072B0A" w:rsidP="00072B0A">
      <w:pPr>
        <w:pStyle w:val="Heading1"/>
        <w:jc w:val="center"/>
        <w:rPr>
          <w:rStyle w:val="elementor-icon-list-text"/>
          <w:rFonts w:asciiTheme="minorHAnsi" w:hAnsiTheme="minorHAnsi" w:cstheme="minorHAnsi"/>
          <w:color w:val="333333"/>
          <w:sz w:val="40"/>
          <w:szCs w:val="40"/>
        </w:rPr>
      </w:pPr>
      <w:r w:rsidRPr="00FA1542">
        <w:rPr>
          <w:rStyle w:val="elementor-icon-list-text"/>
          <w:rFonts w:asciiTheme="minorHAnsi" w:hAnsiTheme="minorHAnsi" w:cstheme="minorHAnsi"/>
          <w:color w:val="333333"/>
          <w:sz w:val="40"/>
          <w:szCs w:val="40"/>
        </w:rPr>
        <w:t>Talking Points for NMTC Advocacy Week</w:t>
      </w:r>
    </w:p>
    <w:p w14:paraId="414A1913" w14:textId="3B0E1A71" w:rsidR="00072B0A" w:rsidRPr="00FA1542" w:rsidRDefault="00072B0A" w:rsidP="00072B0A">
      <w:pPr>
        <w:jc w:val="center"/>
        <w:rPr>
          <w:rFonts w:cstheme="minorHAnsi"/>
          <w:sz w:val="24"/>
          <w:szCs w:val="24"/>
        </w:rPr>
      </w:pPr>
      <w:r w:rsidRPr="00FA1542">
        <w:rPr>
          <w:rFonts w:cstheme="minorHAnsi"/>
          <w:sz w:val="24"/>
          <w:szCs w:val="24"/>
        </w:rPr>
        <w:t>May 10-14, 2021</w:t>
      </w:r>
    </w:p>
    <w:p w14:paraId="4DEF55B5" w14:textId="4DCE06DF" w:rsidR="00072B0A" w:rsidRPr="00FA1542" w:rsidRDefault="00072B0A" w:rsidP="00072B0A">
      <w:pPr>
        <w:rPr>
          <w:rFonts w:cstheme="minorHAnsi"/>
          <w:sz w:val="24"/>
          <w:szCs w:val="24"/>
        </w:rPr>
      </w:pPr>
      <w:r w:rsidRPr="00FA1542">
        <w:rPr>
          <w:rFonts w:cstheme="minorHAnsi"/>
          <w:sz w:val="24"/>
          <w:szCs w:val="24"/>
        </w:rPr>
        <w:t xml:space="preserve">The NMTC Coalition is asking for five new policies. Below are talking points for use in your asks to members of Congress and their staff. </w:t>
      </w:r>
    </w:p>
    <w:p w14:paraId="2B716988" w14:textId="407C9342" w:rsidR="00307E3D" w:rsidRPr="00072B0A" w:rsidRDefault="00072B0A" w:rsidP="00072B0A">
      <w:pPr>
        <w:pStyle w:val="Heading1"/>
        <w:pBdr>
          <w:top w:val="single" w:sz="4" w:space="1" w:color="auto"/>
          <w:left w:val="single" w:sz="4" w:space="4" w:color="auto"/>
          <w:bottom w:val="single" w:sz="4" w:space="1" w:color="auto"/>
          <w:right w:val="single" w:sz="4" w:space="4" w:color="auto"/>
        </w:pBdr>
        <w:shd w:val="clear" w:color="auto" w:fill="EDEDED" w:themeFill="accent3" w:themeFillTint="33"/>
        <w:rPr>
          <w:rStyle w:val="elementor-icon-list-text"/>
          <w:rFonts w:asciiTheme="minorHAnsi" w:hAnsiTheme="minorHAnsi" w:cstheme="minorHAnsi"/>
          <w:color w:val="333333"/>
          <w:highlight w:val="yellow"/>
        </w:rPr>
      </w:pPr>
      <w:r w:rsidRPr="00072B0A">
        <w:rPr>
          <w:rStyle w:val="elementor-icon-list-text"/>
          <w:rFonts w:asciiTheme="minorHAnsi" w:hAnsiTheme="minorHAnsi" w:cstheme="minorHAnsi"/>
          <w:color w:val="333333"/>
        </w:rPr>
        <w:t xml:space="preserve">Ask #1: </w:t>
      </w:r>
      <w:r w:rsidR="00307E3D" w:rsidRPr="00072B0A">
        <w:rPr>
          <w:rStyle w:val="elementor-icon-list-text"/>
          <w:rFonts w:asciiTheme="minorHAnsi" w:hAnsiTheme="minorHAnsi" w:cstheme="minorHAnsi"/>
          <w:color w:val="333333"/>
        </w:rPr>
        <w:t>Support a permanent extension of the NMTC by cosponsoring NMTC Extension Act (H.R. 1321/ S. 45</w:t>
      </w:r>
      <w:r w:rsidRPr="00072B0A">
        <w:rPr>
          <w:rStyle w:val="elementor-icon-list-text"/>
          <w:rFonts w:asciiTheme="minorHAnsi" w:hAnsiTheme="minorHAnsi" w:cstheme="minorHAnsi"/>
          <w:color w:val="333333"/>
        </w:rPr>
        <w:t>6)</w:t>
      </w:r>
    </w:p>
    <w:p w14:paraId="12EA158B" w14:textId="000D4068" w:rsidR="00307E3D" w:rsidRPr="00072B0A" w:rsidRDefault="00065DEE" w:rsidP="00065DEE">
      <w:pPr>
        <w:pStyle w:val="elementor-icon-list-item"/>
        <w:numPr>
          <w:ilvl w:val="0"/>
          <w:numId w:val="11"/>
        </w:numPr>
        <w:spacing w:before="0" w:beforeAutospacing="0" w:after="0" w:afterAutospacing="0"/>
        <w:textAlignment w:val="baseline"/>
        <w:rPr>
          <w:rFonts w:asciiTheme="minorHAnsi" w:hAnsiTheme="minorHAnsi" w:cstheme="minorHAnsi"/>
          <w:color w:val="333333"/>
        </w:rPr>
      </w:pPr>
      <w:r w:rsidRPr="00072B0A">
        <w:rPr>
          <w:rFonts w:asciiTheme="minorHAnsi" w:hAnsiTheme="minorHAnsi" w:cstheme="minorHAnsi"/>
          <w:b/>
          <w:bCs/>
          <w:color w:val="333333"/>
        </w:rPr>
        <w:t>The NMTC is not permanent:</w:t>
      </w:r>
      <w:r w:rsidRPr="00072B0A">
        <w:rPr>
          <w:rFonts w:asciiTheme="minorHAnsi" w:hAnsiTheme="minorHAnsi" w:cstheme="minorHAnsi"/>
          <w:color w:val="333333"/>
        </w:rPr>
        <w:t xml:space="preserve"> </w:t>
      </w:r>
      <w:r w:rsidR="00307E3D" w:rsidRPr="00072B0A">
        <w:rPr>
          <w:rFonts w:asciiTheme="minorHAnsi" w:hAnsiTheme="minorHAnsi" w:cstheme="minorHAnsi"/>
          <w:color w:val="333333"/>
        </w:rPr>
        <w:t xml:space="preserve">The NMTC was extended for five years at $5B in annual authority last December. It expires in 2025. </w:t>
      </w:r>
    </w:p>
    <w:p w14:paraId="6529E99C" w14:textId="2ACACDF2" w:rsidR="00307E3D" w:rsidRPr="00072B0A" w:rsidRDefault="00072B0A" w:rsidP="00065DEE">
      <w:pPr>
        <w:pStyle w:val="elementor-icon-list-item"/>
        <w:numPr>
          <w:ilvl w:val="0"/>
          <w:numId w:val="11"/>
        </w:numPr>
        <w:spacing w:after="0"/>
        <w:textAlignment w:val="baseline"/>
        <w:rPr>
          <w:rFonts w:asciiTheme="minorHAnsi" w:hAnsiTheme="minorHAnsi" w:cstheme="minorHAnsi"/>
          <w:color w:val="333333"/>
        </w:rPr>
      </w:pPr>
      <w:r w:rsidRPr="00072B0A">
        <w:rPr>
          <w:rFonts w:asciiTheme="minorHAnsi" w:hAnsiTheme="minorHAnsi" w:cstheme="minorHAnsi"/>
          <w:b/>
          <w:bCs/>
          <w:color w:val="333333"/>
        </w:rPr>
        <w:t>Permanent tax policy is b</w:t>
      </w:r>
      <w:r w:rsidR="00307E3D" w:rsidRPr="00072B0A">
        <w:rPr>
          <w:rFonts w:asciiTheme="minorHAnsi" w:hAnsiTheme="minorHAnsi" w:cstheme="minorHAnsi"/>
          <w:b/>
          <w:bCs/>
          <w:color w:val="333333"/>
        </w:rPr>
        <w:t>etter</w:t>
      </w:r>
      <w:r w:rsidRPr="00072B0A">
        <w:rPr>
          <w:rFonts w:asciiTheme="minorHAnsi" w:hAnsiTheme="minorHAnsi" w:cstheme="minorHAnsi"/>
          <w:b/>
          <w:bCs/>
          <w:color w:val="333333"/>
        </w:rPr>
        <w:t xml:space="preserve"> tax</w:t>
      </w:r>
      <w:r w:rsidR="00307E3D" w:rsidRPr="00072B0A">
        <w:rPr>
          <w:rFonts w:asciiTheme="minorHAnsi" w:hAnsiTheme="minorHAnsi" w:cstheme="minorHAnsi"/>
          <w:b/>
          <w:bCs/>
          <w:color w:val="333333"/>
        </w:rPr>
        <w:t xml:space="preserve"> </w:t>
      </w:r>
      <w:r w:rsidR="00065DEE" w:rsidRPr="00072B0A">
        <w:rPr>
          <w:rFonts w:asciiTheme="minorHAnsi" w:hAnsiTheme="minorHAnsi" w:cstheme="minorHAnsi"/>
          <w:b/>
          <w:bCs/>
          <w:color w:val="333333"/>
        </w:rPr>
        <w:t>p</w:t>
      </w:r>
      <w:r w:rsidR="00307E3D" w:rsidRPr="00072B0A">
        <w:rPr>
          <w:rFonts w:asciiTheme="minorHAnsi" w:hAnsiTheme="minorHAnsi" w:cstheme="minorHAnsi"/>
          <w:b/>
          <w:bCs/>
          <w:color w:val="333333"/>
        </w:rPr>
        <w:t>olicy:</w:t>
      </w:r>
      <w:r w:rsidR="00307E3D" w:rsidRPr="00072B0A">
        <w:rPr>
          <w:rFonts w:asciiTheme="minorHAnsi" w:hAnsiTheme="minorHAnsi" w:cstheme="minorHAnsi"/>
          <w:color w:val="333333"/>
        </w:rPr>
        <w:t xml:space="preserve"> </w:t>
      </w:r>
      <w:proofErr w:type="gramStart"/>
      <w:r w:rsidR="00307E3D" w:rsidRPr="00072B0A">
        <w:rPr>
          <w:rFonts w:asciiTheme="minorHAnsi" w:hAnsiTheme="minorHAnsi" w:cstheme="minorHAnsi"/>
          <w:color w:val="333333"/>
        </w:rPr>
        <w:t>It’s</w:t>
      </w:r>
      <w:proofErr w:type="gramEnd"/>
      <w:r w:rsidR="00307E3D" w:rsidRPr="00072B0A">
        <w:rPr>
          <w:rFonts w:asciiTheme="minorHAnsi" w:hAnsiTheme="minorHAnsi" w:cstheme="minorHAnsi"/>
          <w:color w:val="333333"/>
        </w:rPr>
        <w:t xml:space="preserve"> time for an end to this one foot on the gas, one foot on the break approach to tax policy. Communities, businesses, investors, and </w:t>
      </w:r>
      <w:r w:rsidR="00065DEE" w:rsidRPr="00072B0A">
        <w:rPr>
          <w:rFonts w:asciiTheme="minorHAnsi" w:hAnsiTheme="minorHAnsi" w:cstheme="minorHAnsi"/>
          <w:color w:val="333333"/>
        </w:rPr>
        <w:t>community development practitioners</w:t>
      </w:r>
      <w:r w:rsidR="00307E3D" w:rsidRPr="00072B0A">
        <w:rPr>
          <w:rFonts w:asciiTheme="minorHAnsi" w:hAnsiTheme="minorHAnsi" w:cstheme="minorHAnsi"/>
          <w:color w:val="333333"/>
        </w:rPr>
        <w:t xml:space="preserve"> should be </w:t>
      </w:r>
      <w:r w:rsidR="00065DEE" w:rsidRPr="00072B0A">
        <w:rPr>
          <w:rFonts w:asciiTheme="minorHAnsi" w:hAnsiTheme="minorHAnsi" w:cstheme="minorHAnsi"/>
          <w:color w:val="333333"/>
        </w:rPr>
        <w:t xml:space="preserve">able to count </w:t>
      </w:r>
      <w:r w:rsidR="00307E3D" w:rsidRPr="00072B0A">
        <w:rPr>
          <w:rFonts w:asciiTheme="minorHAnsi" w:hAnsiTheme="minorHAnsi" w:cstheme="minorHAnsi"/>
          <w:color w:val="333333"/>
        </w:rPr>
        <w:t>on incentives like the NMTC.</w:t>
      </w:r>
    </w:p>
    <w:p w14:paraId="4E9FD123" w14:textId="23564170" w:rsidR="00307E3D" w:rsidRPr="00072B0A" w:rsidRDefault="00307E3D" w:rsidP="00065DEE">
      <w:pPr>
        <w:pStyle w:val="elementor-icon-list-item"/>
        <w:numPr>
          <w:ilvl w:val="0"/>
          <w:numId w:val="11"/>
        </w:numPr>
        <w:spacing w:after="0"/>
        <w:textAlignment w:val="baseline"/>
        <w:rPr>
          <w:rFonts w:asciiTheme="minorHAnsi" w:hAnsiTheme="minorHAnsi" w:cstheme="minorHAnsi"/>
          <w:color w:val="333333"/>
        </w:rPr>
      </w:pPr>
      <w:r w:rsidRPr="00072B0A">
        <w:rPr>
          <w:rFonts w:asciiTheme="minorHAnsi" w:hAnsiTheme="minorHAnsi" w:cstheme="minorHAnsi"/>
          <w:b/>
          <w:bCs/>
          <w:color w:val="333333"/>
        </w:rPr>
        <w:t xml:space="preserve">Bipartisan </w:t>
      </w:r>
      <w:r w:rsidR="00065DEE" w:rsidRPr="00072B0A">
        <w:rPr>
          <w:rFonts w:asciiTheme="minorHAnsi" w:hAnsiTheme="minorHAnsi" w:cstheme="minorHAnsi"/>
          <w:b/>
          <w:bCs/>
          <w:color w:val="333333"/>
        </w:rPr>
        <w:t>a</w:t>
      </w:r>
      <w:r w:rsidRPr="00072B0A">
        <w:rPr>
          <w:rFonts w:asciiTheme="minorHAnsi" w:hAnsiTheme="minorHAnsi" w:cstheme="minorHAnsi"/>
          <w:b/>
          <w:bCs/>
          <w:color w:val="333333"/>
        </w:rPr>
        <w:t>greement:</w:t>
      </w:r>
      <w:r w:rsidRPr="00072B0A">
        <w:rPr>
          <w:rFonts w:asciiTheme="minorHAnsi" w:hAnsiTheme="minorHAnsi" w:cstheme="minorHAnsi"/>
          <w:color w:val="333333"/>
        </w:rPr>
        <w:t xml:space="preserve"> The bipartisan NMTC Extension Act of 20</w:t>
      </w:r>
      <w:r w:rsidR="00065DEE" w:rsidRPr="00072B0A">
        <w:rPr>
          <w:rFonts w:asciiTheme="minorHAnsi" w:hAnsiTheme="minorHAnsi" w:cstheme="minorHAnsi"/>
          <w:color w:val="333333"/>
        </w:rPr>
        <w:t>21</w:t>
      </w:r>
      <w:r w:rsidRPr="00072B0A">
        <w:rPr>
          <w:rFonts w:asciiTheme="minorHAnsi" w:hAnsiTheme="minorHAnsi" w:cstheme="minorHAnsi"/>
          <w:color w:val="333333"/>
        </w:rPr>
        <w:t xml:space="preserve"> </w:t>
      </w:r>
      <w:r w:rsidR="00065DEE" w:rsidRPr="00072B0A">
        <w:rPr>
          <w:rFonts w:asciiTheme="minorHAnsi" w:hAnsiTheme="minorHAnsi" w:cstheme="minorHAnsi"/>
          <w:color w:val="333333"/>
        </w:rPr>
        <w:t>h</w:t>
      </w:r>
      <w:r w:rsidRPr="00072B0A">
        <w:rPr>
          <w:rFonts w:asciiTheme="minorHAnsi" w:hAnsiTheme="minorHAnsi" w:cstheme="minorHAnsi"/>
          <w:color w:val="333333"/>
        </w:rPr>
        <w:t>as the support of</w:t>
      </w:r>
      <w:r w:rsidR="00065DEE" w:rsidRPr="00072B0A">
        <w:rPr>
          <w:rFonts w:asciiTheme="minorHAnsi" w:hAnsiTheme="minorHAnsi" w:cstheme="minorHAnsi"/>
          <w:color w:val="333333"/>
        </w:rPr>
        <w:t xml:space="preserve"> 51</w:t>
      </w:r>
      <w:r w:rsidRPr="00072B0A">
        <w:rPr>
          <w:rFonts w:asciiTheme="minorHAnsi" w:hAnsiTheme="minorHAnsi" w:cstheme="minorHAnsi"/>
          <w:color w:val="333333"/>
        </w:rPr>
        <w:t xml:space="preserve"> Representatives</w:t>
      </w:r>
      <w:r w:rsidR="00065DEE" w:rsidRPr="00072B0A">
        <w:rPr>
          <w:rFonts w:asciiTheme="minorHAnsi" w:hAnsiTheme="minorHAnsi" w:cstheme="minorHAnsi"/>
          <w:color w:val="333333"/>
        </w:rPr>
        <w:t xml:space="preserve"> (including </w:t>
      </w:r>
      <w:proofErr w:type="gramStart"/>
      <w:r w:rsidR="00065DEE" w:rsidRPr="00072B0A">
        <w:rPr>
          <w:rFonts w:asciiTheme="minorHAnsi" w:hAnsiTheme="minorHAnsi" w:cstheme="minorHAnsi"/>
          <w:color w:val="333333"/>
        </w:rPr>
        <w:t>a majority of</w:t>
      </w:r>
      <w:proofErr w:type="gramEnd"/>
      <w:r w:rsidR="00065DEE" w:rsidRPr="00072B0A">
        <w:rPr>
          <w:rFonts w:asciiTheme="minorHAnsi" w:hAnsiTheme="minorHAnsi" w:cstheme="minorHAnsi"/>
          <w:color w:val="333333"/>
        </w:rPr>
        <w:t xml:space="preserve"> the Ways and Means Committee) and</w:t>
      </w:r>
      <w:r w:rsidRPr="00072B0A">
        <w:rPr>
          <w:rFonts w:asciiTheme="minorHAnsi" w:hAnsiTheme="minorHAnsi" w:cstheme="minorHAnsi"/>
          <w:color w:val="333333"/>
        </w:rPr>
        <w:t xml:space="preserve"> </w:t>
      </w:r>
      <w:r w:rsidR="00065DEE" w:rsidRPr="00072B0A">
        <w:rPr>
          <w:rFonts w:asciiTheme="minorHAnsi" w:hAnsiTheme="minorHAnsi" w:cstheme="minorHAnsi"/>
          <w:color w:val="333333"/>
        </w:rPr>
        <w:t>1</w:t>
      </w:r>
      <w:r w:rsidRPr="00072B0A">
        <w:rPr>
          <w:rFonts w:asciiTheme="minorHAnsi" w:hAnsiTheme="minorHAnsi" w:cstheme="minorHAnsi"/>
          <w:color w:val="333333"/>
        </w:rPr>
        <w:t xml:space="preserve">6 Senators evenly spread </w:t>
      </w:r>
      <w:r w:rsidR="00065DEE" w:rsidRPr="00072B0A">
        <w:rPr>
          <w:rFonts w:asciiTheme="minorHAnsi" w:hAnsiTheme="minorHAnsi" w:cstheme="minorHAnsi"/>
          <w:color w:val="333333"/>
        </w:rPr>
        <w:t>across</w:t>
      </w:r>
      <w:r w:rsidRPr="00072B0A">
        <w:rPr>
          <w:rFonts w:asciiTheme="minorHAnsi" w:hAnsiTheme="minorHAnsi" w:cstheme="minorHAnsi"/>
          <w:color w:val="333333"/>
        </w:rPr>
        <w:t xml:space="preserve"> both parties</w:t>
      </w:r>
      <w:r w:rsidR="00065DEE" w:rsidRPr="00072B0A">
        <w:rPr>
          <w:rFonts w:asciiTheme="minorHAnsi" w:hAnsiTheme="minorHAnsi" w:cstheme="minorHAnsi"/>
          <w:color w:val="333333"/>
        </w:rPr>
        <w:t xml:space="preserve">. </w:t>
      </w:r>
      <w:r w:rsidR="00072B0A" w:rsidRPr="00072B0A">
        <w:rPr>
          <w:rFonts w:asciiTheme="minorHAnsi" w:hAnsiTheme="minorHAnsi" w:cstheme="minorHAnsi"/>
          <w:color w:val="333333"/>
        </w:rPr>
        <w:t xml:space="preserve">Existing cosponsors: </w:t>
      </w:r>
      <w:hyperlink r:id="rId8" w:history="1">
        <w:r w:rsidR="00065DEE" w:rsidRPr="00072B0A">
          <w:rPr>
            <w:rStyle w:val="Hyperlink"/>
            <w:rFonts w:asciiTheme="minorHAnsi" w:hAnsiTheme="minorHAnsi" w:cstheme="minorHAnsi"/>
          </w:rPr>
          <w:t>https://nmtccoalition.org/extension-bills</w:t>
        </w:r>
      </w:hyperlink>
    </w:p>
    <w:p w14:paraId="79A6AE3F" w14:textId="26A82BEC" w:rsidR="00065DEE" w:rsidRPr="00072B0A" w:rsidRDefault="00307E3D" w:rsidP="00307E3D">
      <w:pPr>
        <w:pStyle w:val="elementor-icon-list-item"/>
        <w:numPr>
          <w:ilvl w:val="0"/>
          <w:numId w:val="11"/>
        </w:numPr>
        <w:spacing w:before="0" w:beforeAutospacing="0" w:after="0" w:afterAutospacing="0"/>
        <w:textAlignment w:val="baseline"/>
        <w:rPr>
          <w:rFonts w:asciiTheme="minorHAnsi" w:hAnsiTheme="minorHAnsi" w:cstheme="minorHAnsi"/>
          <w:color w:val="333333"/>
        </w:rPr>
      </w:pPr>
      <w:r w:rsidRPr="00072B0A">
        <w:rPr>
          <w:rFonts w:asciiTheme="minorHAnsi" w:hAnsiTheme="minorHAnsi" w:cstheme="minorHAnsi"/>
          <w:b/>
          <w:bCs/>
          <w:color w:val="333333"/>
        </w:rPr>
        <w:t>Community support</w:t>
      </w:r>
      <w:r w:rsidRPr="00072B0A">
        <w:rPr>
          <w:rFonts w:asciiTheme="minorHAnsi" w:hAnsiTheme="minorHAnsi" w:cstheme="minorHAnsi"/>
          <w:color w:val="333333"/>
        </w:rPr>
        <w:t xml:space="preserve">: </w:t>
      </w:r>
      <w:r w:rsidR="00065DEE" w:rsidRPr="00072B0A">
        <w:rPr>
          <w:rFonts w:asciiTheme="minorHAnsi" w:hAnsiTheme="minorHAnsi" w:cstheme="minorHAnsi"/>
          <w:color w:val="333333"/>
        </w:rPr>
        <w:t>Last year, o</w:t>
      </w:r>
      <w:r w:rsidRPr="00072B0A">
        <w:rPr>
          <w:rFonts w:asciiTheme="minorHAnsi" w:hAnsiTheme="minorHAnsi" w:cstheme="minorHAnsi"/>
          <w:color w:val="333333"/>
        </w:rPr>
        <w:t xml:space="preserve">ver 700 businesses, community leaders, cities, nonprofits, and community development organizations wrote to Congress asking for a permanent extension of the program. </w:t>
      </w:r>
      <w:hyperlink r:id="rId9" w:history="1">
        <w:r w:rsidR="00065DEE" w:rsidRPr="00072B0A">
          <w:rPr>
            <w:rStyle w:val="Hyperlink"/>
            <w:rFonts w:asciiTheme="minorHAnsi" w:hAnsiTheme="minorHAnsi" w:cstheme="minorHAnsi"/>
          </w:rPr>
          <w:t>https://nmtccoalition.org/sign-on-letters</w:t>
        </w:r>
      </w:hyperlink>
    </w:p>
    <w:p w14:paraId="3C22D279" w14:textId="176C818B" w:rsidR="00307E3D" w:rsidRPr="00072B0A" w:rsidRDefault="00065DEE" w:rsidP="00065DEE">
      <w:pPr>
        <w:pStyle w:val="elementor-icon-list-item"/>
        <w:numPr>
          <w:ilvl w:val="0"/>
          <w:numId w:val="11"/>
        </w:numPr>
        <w:spacing w:before="0" w:beforeAutospacing="0" w:after="0" w:afterAutospacing="0"/>
        <w:textAlignment w:val="baseline"/>
        <w:rPr>
          <w:rFonts w:asciiTheme="minorHAnsi" w:hAnsiTheme="minorHAnsi" w:cstheme="minorHAnsi"/>
          <w:color w:val="333333"/>
        </w:rPr>
      </w:pPr>
      <w:r w:rsidRPr="00072B0A">
        <w:rPr>
          <w:rFonts w:asciiTheme="minorHAnsi" w:hAnsiTheme="minorHAnsi" w:cstheme="minorHAnsi"/>
          <w:b/>
          <w:bCs/>
          <w:color w:val="333333"/>
        </w:rPr>
        <w:t>Efficiency Gains:</w:t>
      </w:r>
      <w:r w:rsidRPr="00072B0A">
        <w:rPr>
          <w:rFonts w:asciiTheme="minorHAnsi" w:hAnsiTheme="minorHAnsi" w:cstheme="minorHAnsi"/>
          <w:color w:val="333333"/>
        </w:rPr>
        <w:t xml:space="preserve"> Providing</w:t>
      </w:r>
      <w:r w:rsidR="00307E3D" w:rsidRPr="00072B0A">
        <w:rPr>
          <w:rFonts w:asciiTheme="minorHAnsi" w:hAnsiTheme="minorHAnsi" w:cstheme="minorHAnsi"/>
          <w:color w:val="333333"/>
        </w:rPr>
        <w:t xml:space="preserve"> AMT relief </w:t>
      </w:r>
      <w:r w:rsidRPr="00072B0A">
        <w:rPr>
          <w:rFonts w:asciiTheme="minorHAnsi" w:hAnsiTheme="minorHAnsi" w:cstheme="minorHAnsi"/>
          <w:color w:val="333333"/>
        </w:rPr>
        <w:t xml:space="preserve">for investors </w:t>
      </w:r>
      <w:r w:rsidR="00307E3D" w:rsidRPr="00072B0A">
        <w:rPr>
          <w:rFonts w:asciiTheme="minorHAnsi" w:hAnsiTheme="minorHAnsi" w:cstheme="minorHAnsi"/>
          <w:color w:val="333333"/>
        </w:rPr>
        <w:t xml:space="preserve">would </w:t>
      </w:r>
      <w:r w:rsidRPr="00072B0A">
        <w:rPr>
          <w:rFonts w:asciiTheme="minorHAnsi" w:hAnsiTheme="minorHAnsi" w:cstheme="minorHAnsi"/>
          <w:color w:val="333333"/>
        </w:rPr>
        <w:t xml:space="preserve">diversify the NMTC investor pool </w:t>
      </w:r>
      <w:r w:rsidR="00307E3D" w:rsidRPr="00072B0A">
        <w:rPr>
          <w:rFonts w:asciiTheme="minorHAnsi" w:hAnsiTheme="minorHAnsi" w:cstheme="minorHAnsi"/>
          <w:color w:val="333333"/>
        </w:rPr>
        <w:t>and drive more benefit to low-income communities for each federal dollar.</w:t>
      </w:r>
    </w:p>
    <w:p w14:paraId="260F38D4" w14:textId="3103DD75" w:rsidR="00065DEE" w:rsidRPr="00072B0A" w:rsidRDefault="00065DEE" w:rsidP="00FA1542">
      <w:pPr>
        <w:pStyle w:val="NoSpacing"/>
      </w:pPr>
    </w:p>
    <w:p w14:paraId="38EA4353" w14:textId="5999F4EE" w:rsidR="00307E3D" w:rsidRPr="00072B0A" w:rsidRDefault="00072B0A" w:rsidP="00072B0A">
      <w:pPr>
        <w:pStyle w:val="Heading1"/>
        <w:pBdr>
          <w:top w:val="single" w:sz="4" w:space="1" w:color="auto"/>
          <w:left w:val="single" w:sz="4" w:space="4" w:color="auto"/>
          <w:bottom w:val="single" w:sz="4" w:space="1" w:color="auto"/>
          <w:right w:val="single" w:sz="4" w:space="4" w:color="auto"/>
        </w:pBdr>
        <w:shd w:val="clear" w:color="auto" w:fill="EDEDED" w:themeFill="accent3" w:themeFillTint="33"/>
        <w:rPr>
          <w:rStyle w:val="elementor-icon-list-text"/>
          <w:rFonts w:asciiTheme="minorHAnsi" w:hAnsiTheme="minorHAnsi" w:cstheme="minorHAnsi"/>
          <w:color w:val="333333"/>
        </w:rPr>
      </w:pPr>
      <w:r w:rsidRPr="00072B0A">
        <w:rPr>
          <w:rStyle w:val="elementor-icon-list-text"/>
          <w:rFonts w:asciiTheme="minorHAnsi" w:hAnsiTheme="minorHAnsi" w:cstheme="minorHAnsi"/>
          <w:color w:val="333333"/>
        </w:rPr>
        <w:t xml:space="preserve">Ask #2: </w:t>
      </w:r>
      <w:bookmarkStart w:id="0" w:name="_Hlk70939971"/>
      <w:r w:rsidR="004542E2" w:rsidRPr="004542E2">
        <w:rPr>
          <w:rStyle w:val="elementor-icon-list-text"/>
          <w:rFonts w:asciiTheme="minorHAnsi" w:hAnsiTheme="minorHAnsi" w:cstheme="minorHAnsi"/>
          <w:color w:val="333333"/>
        </w:rPr>
        <w:t>Promote greater economic growth in economically distressed rural urban and tribal communities by providing an additional $3 billion</w:t>
      </w:r>
      <w:r w:rsidR="004542E2">
        <w:rPr>
          <w:rStyle w:val="elementor-icon-list-text"/>
          <w:rFonts w:asciiTheme="minorHAnsi" w:hAnsiTheme="minorHAnsi" w:cstheme="minorHAnsi"/>
          <w:color w:val="333333"/>
        </w:rPr>
        <w:t xml:space="preserve"> in NMTC allocation</w:t>
      </w:r>
      <w:r w:rsidR="004542E2" w:rsidRPr="004542E2">
        <w:rPr>
          <w:rStyle w:val="elementor-icon-list-text"/>
          <w:rFonts w:asciiTheme="minorHAnsi" w:hAnsiTheme="minorHAnsi" w:cstheme="minorHAnsi"/>
          <w:color w:val="333333"/>
        </w:rPr>
        <w:t xml:space="preserve"> for investment in </w:t>
      </w:r>
      <w:proofErr w:type="gramStart"/>
      <w:r w:rsidR="004542E2" w:rsidRPr="004542E2">
        <w:rPr>
          <w:rStyle w:val="elementor-icon-list-text"/>
          <w:rFonts w:asciiTheme="minorHAnsi" w:hAnsiTheme="minorHAnsi" w:cstheme="minorHAnsi"/>
          <w:color w:val="333333"/>
        </w:rPr>
        <w:t>child care</w:t>
      </w:r>
      <w:proofErr w:type="gramEnd"/>
      <w:r w:rsidR="004542E2" w:rsidRPr="004542E2">
        <w:rPr>
          <w:rStyle w:val="elementor-icon-list-text"/>
          <w:rFonts w:asciiTheme="minorHAnsi" w:hAnsiTheme="minorHAnsi" w:cstheme="minorHAnsi"/>
          <w:color w:val="333333"/>
        </w:rPr>
        <w:t xml:space="preserve"> facilities, clean</w:t>
      </w:r>
      <w:r w:rsidR="004542E2">
        <w:rPr>
          <w:rStyle w:val="elementor-icon-list-text"/>
          <w:rFonts w:asciiTheme="minorHAnsi" w:hAnsiTheme="minorHAnsi" w:cstheme="minorHAnsi"/>
          <w:color w:val="333333"/>
        </w:rPr>
        <w:t xml:space="preserve"> </w:t>
      </w:r>
      <w:r w:rsidR="004542E2" w:rsidRPr="004542E2">
        <w:rPr>
          <w:rStyle w:val="elementor-icon-list-text"/>
          <w:rFonts w:asciiTheme="minorHAnsi" w:hAnsiTheme="minorHAnsi" w:cstheme="minorHAnsi"/>
          <w:color w:val="333333"/>
        </w:rPr>
        <w:t>techno</w:t>
      </w:r>
      <w:r w:rsidR="004542E2">
        <w:rPr>
          <w:rStyle w:val="elementor-icon-list-text"/>
          <w:rFonts w:asciiTheme="minorHAnsi" w:hAnsiTheme="minorHAnsi" w:cstheme="minorHAnsi"/>
          <w:color w:val="333333"/>
        </w:rPr>
        <w:t>lo</w:t>
      </w:r>
      <w:r w:rsidR="004542E2" w:rsidRPr="004542E2">
        <w:rPr>
          <w:rStyle w:val="elementor-icon-list-text"/>
          <w:rFonts w:asciiTheme="minorHAnsi" w:hAnsiTheme="minorHAnsi" w:cstheme="minorHAnsi"/>
          <w:color w:val="333333"/>
        </w:rPr>
        <w:t>gy industries</w:t>
      </w:r>
      <w:r w:rsidR="00ED231B">
        <w:rPr>
          <w:rStyle w:val="elementor-icon-list-text"/>
          <w:rFonts w:asciiTheme="minorHAnsi" w:hAnsiTheme="minorHAnsi" w:cstheme="minorHAnsi"/>
          <w:color w:val="333333"/>
        </w:rPr>
        <w:t>, small business incubators, and other infrastructure investments</w:t>
      </w:r>
      <w:r w:rsidR="004542E2" w:rsidRPr="004542E2">
        <w:rPr>
          <w:rStyle w:val="elementor-icon-list-text"/>
          <w:rFonts w:asciiTheme="minorHAnsi" w:hAnsiTheme="minorHAnsi" w:cstheme="minorHAnsi"/>
          <w:color w:val="333333"/>
        </w:rPr>
        <w:t>;</w:t>
      </w:r>
      <w:bookmarkEnd w:id="0"/>
    </w:p>
    <w:p w14:paraId="4AE115FA" w14:textId="77777777" w:rsidR="00072B0A" w:rsidRPr="00072B0A" w:rsidRDefault="00D31E2F" w:rsidP="00A27CD3">
      <w:pPr>
        <w:pStyle w:val="ListParagraph"/>
        <w:numPr>
          <w:ilvl w:val="0"/>
          <w:numId w:val="17"/>
        </w:numPr>
        <w:ind w:left="720"/>
        <w:rPr>
          <w:rFonts w:cstheme="minorHAnsi"/>
          <w:sz w:val="24"/>
          <w:szCs w:val="24"/>
        </w:rPr>
      </w:pPr>
      <w:r w:rsidRPr="00072B0A">
        <w:rPr>
          <w:rFonts w:cstheme="minorHAnsi"/>
          <w:b/>
          <w:bCs/>
          <w:sz w:val="24"/>
          <w:szCs w:val="24"/>
        </w:rPr>
        <w:t xml:space="preserve">Many of the goals and priorities in the American Jobs Plan (AJP) align well with the NMTC. </w:t>
      </w:r>
      <w:r w:rsidRPr="00072B0A">
        <w:rPr>
          <w:rFonts w:cstheme="minorHAnsi"/>
          <w:sz w:val="24"/>
          <w:szCs w:val="24"/>
        </w:rPr>
        <w:t>Using the NMTC to finance many of the priorities in the AJP would help the President ensure new and improved infrastructure benefits underserved communities.</w:t>
      </w:r>
      <w:r w:rsidR="00072B0A" w:rsidRPr="00072B0A">
        <w:rPr>
          <w:rFonts w:cstheme="minorHAnsi"/>
          <w:sz w:val="24"/>
          <w:szCs w:val="24"/>
        </w:rPr>
        <w:t xml:space="preserve"> </w:t>
      </w:r>
    </w:p>
    <w:p w14:paraId="796C4CA3" w14:textId="5D5CC43C" w:rsidR="00D31E2F" w:rsidRPr="00072B0A" w:rsidRDefault="00D31E2F" w:rsidP="00A27CD3">
      <w:pPr>
        <w:pStyle w:val="ListParagraph"/>
        <w:numPr>
          <w:ilvl w:val="0"/>
          <w:numId w:val="17"/>
        </w:numPr>
        <w:ind w:left="720"/>
        <w:rPr>
          <w:rFonts w:cstheme="minorHAnsi"/>
          <w:sz w:val="24"/>
          <w:szCs w:val="24"/>
        </w:rPr>
      </w:pPr>
      <w:r w:rsidRPr="00072B0A">
        <w:rPr>
          <w:sz w:val="24"/>
          <w:szCs w:val="24"/>
        </w:rPr>
        <w:t>The NMTC has a twenty-year track record of financing daycare centers, community colleges, business incubators, workforce training programs, utility upgrades, schools, healthcare facilities, and other public goods that strengthen communities and generate long-term economic growth.</w:t>
      </w:r>
    </w:p>
    <w:p w14:paraId="4AC50226" w14:textId="77777777" w:rsidR="00D31E2F" w:rsidRPr="00FA1542" w:rsidRDefault="00D31E2F" w:rsidP="00FA1542">
      <w:pPr>
        <w:pStyle w:val="NoSpacing"/>
        <w:numPr>
          <w:ilvl w:val="0"/>
          <w:numId w:val="17"/>
        </w:numPr>
        <w:ind w:left="720"/>
        <w:rPr>
          <w:sz w:val="24"/>
          <w:szCs w:val="24"/>
        </w:rPr>
      </w:pPr>
      <w:r w:rsidRPr="00FA1542">
        <w:rPr>
          <w:sz w:val="24"/>
          <w:szCs w:val="24"/>
        </w:rPr>
        <w:lastRenderedPageBreak/>
        <w:t>Infrastructure stats (through Sept 2020):</w:t>
      </w:r>
    </w:p>
    <w:p w14:paraId="02F04C3E" w14:textId="77777777" w:rsidR="00D31E2F" w:rsidRPr="00072B0A" w:rsidRDefault="00D31E2F" w:rsidP="00FA1542">
      <w:pPr>
        <w:pStyle w:val="elementor-icon-list-item"/>
        <w:numPr>
          <w:ilvl w:val="2"/>
          <w:numId w:val="11"/>
        </w:numPr>
        <w:spacing w:after="0"/>
        <w:ind w:left="1260"/>
        <w:textAlignment w:val="baseline"/>
        <w:rPr>
          <w:rFonts w:asciiTheme="minorHAnsi" w:hAnsiTheme="minorHAnsi" w:cstheme="minorHAnsi"/>
          <w:color w:val="333333"/>
        </w:rPr>
      </w:pPr>
      <w:r w:rsidRPr="00072B0A">
        <w:rPr>
          <w:rFonts w:asciiTheme="minorHAnsi" w:hAnsiTheme="minorHAnsi" w:cstheme="minorHAnsi"/>
          <w:color w:val="333333"/>
        </w:rPr>
        <w:t>Childcare: 420 projects, $5 billion expanded access to childcare</w:t>
      </w:r>
    </w:p>
    <w:p w14:paraId="57A9913B" w14:textId="77777777" w:rsidR="00D31E2F" w:rsidRPr="00072B0A" w:rsidRDefault="00D31E2F" w:rsidP="00FA1542">
      <w:pPr>
        <w:pStyle w:val="elementor-icon-list-item"/>
        <w:numPr>
          <w:ilvl w:val="2"/>
          <w:numId w:val="11"/>
        </w:numPr>
        <w:spacing w:after="0"/>
        <w:ind w:left="1260"/>
        <w:textAlignment w:val="baseline"/>
        <w:rPr>
          <w:rFonts w:asciiTheme="minorHAnsi" w:hAnsiTheme="minorHAnsi" w:cstheme="minorHAnsi"/>
          <w:color w:val="333333"/>
        </w:rPr>
      </w:pPr>
      <w:r w:rsidRPr="00072B0A">
        <w:rPr>
          <w:rFonts w:asciiTheme="minorHAnsi" w:hAnsiTheme="minorHAnsi" w:cstheme="minorHAnsi"/>
          <w:color w:val="333333"/>
        </w:rPr>
        <w:t xml:space="preserve">Capital for domestic manufacturers: 1,543 projects totaling $12.8 </w:t>
      </w:r>
      <w:proofErr w:type="gramStart"/>
      <w:r w:rsidRPr="00072B0A">
        <w:rPr>
          <w:rFonts w:asciiTheme="minorHAnsi" w:hAnsiTheme="minorHAnsi" w:cstheme="minorHAnsi"/>
          <w:color w:val="333333"/>
        </w:rPr>
        <w:t>billion</w:t>
      </w:r>
      <w:proofErr w:type="gramEnd"/>
    </w:p>
    <w:p w14:paraId="1F3572CF" w14:textId="77777777" w:rsidR="00D31E2F" w:rsidRPr="00072B0A" w:rsidRDefault="00D31E2F" w:rsidP="00FA1542">
      <w:pPr>
        <w:pStyle w:val="elementor-icon-list-item"/>
        <w:numPr>
          <w:ilvl w:val="2"/>
          <w:numId w:val="11"/>
        </w:numPr>
        <w:spacing w:after="0"/>
        <w:ind w:left="1260"/>
        <w:textAlignment w:val="baseline"/>
        <w:rPr>
          <w:rFonts w:asciiTheme="minorHAnsi" w:hAnsiTheme="minorHAnsi" w:cstheme="minorHAnsi"/>
          <w:color w:val="333333"/>
        </w:rPr>
      </w:pPr>
      <w:r w:rsidRPr="00072B0A">
        <w:rPr>
          <w:rFonts w:asciiTheme="minorHAnsi" w:hAnsiTheme="minorHAnsi" w:cstheme="minorHAnsi"/>
          <w:color w:val="333333"/>
        </w:rPr>
        <w:t xml:space="preserve">Colleges, training, workforce development: 397 projects totaling $8 </w:t>
      </w:r>
      <w:proofErr w:type="gramStart"/>
      <w:r w:rsidRPr="00072B0A">
        <w:rPr>
          <w:rFonts w:asciiTheme="minorHAnsi" w:hAnsiTheme="minorHAnsi" w:cstheme="minorHAnsi"/>
          <w:color w:val="333333"/>
        </w:rPr>
        <w:t>billion</w:t>
      </w:r>
      <w:proofErr w:type="gramEnd"/>
    </w:p>
    <w:p w14:paraId="608228AB" w14:textId="77777777" w:rsidR="00D31E2F" w:rsidRPr="00072B0A" w:rsidRDefault="00D31E2F" w:rsidP="00FA1542">
      <w:pPr>
        <w:pStyle w:val="elementor-icon-list-item"/>
        <w:numPr>
          <w:ilvl w:val="2"/>
          <w:numId w:val="11"/>
        </w:numPr>
        <w:spacing w:after="0"/>
        <w:ind w:left="1260"/>
        <w:textAlignment w:val="baseline"/>
        <w:rPr>
          <w:rFonts w:asciiTheme="minorHAnsi" w:hAnsiTheme="minorHAnsi" w:cstheme="minorHAnsi"/>
          <w:color w:val="333333"/>
        </w:rPr>
      </w:pPr>
      <w:r w:rsidRPr="00072B0A">
        <w:rPr>
          <w:rFonts w:asciiTheme="minorHAnsi" w:hAnsiTheme="minorHAnsi" w:cstheme="minorHAnsi"/>
          <w:color w:val="333333"/>
        </w:rPr>
        <w:t xml:space="preserve">Business incubators: 143 projects totaling $4 </w:t>
      </w:r>
      <w:proofErr w:type="gramStart"/>
      <w:r w:rsidRPr="00072B0A">
        <w:rPr>
          <w:rFonts w:asciiTheme="minorHAnsi" w:hAnsiTheme="minorHAnsi" w:cstheme="minorHAnsi"/>
          <w:color w:val="333333"/>
        </w:rPr>
        <w:t>billion</w:t>
      </w:r>
      <w:proofErr w:type="gramEnd"/>
    </w:p>
    <w:p w14:paraId="7C5F0E2C" w14:textId="77777777" w:rsidR="00D31E2F" w:rsidRPr="00072B0A" w:rsidRDefault="00D31E2F" w:rsidP="00FA1542">
      <w:pPr>
        <w:pStyle w:val="elementor-icon-list-item"/>
        <w:numPr>
          <w:ilvl w:val="2"/>
          <w:numId w:val="11"/>
        </w:numPr>
        <w:spacing w:after="0"/>
        <w:ind w:left="1260"/>
        <w:textAlignment w:val="baseline"/>
        <w:rPr>
          <w:rFonts w:asciiTheme="minorHAnsi" w:hAnsiTheme="minorHAnsi" w:cstheme="minorHAnsi"/>
          <w:color w:val="333333"/>
        </w:rPr>
      </w:pPr>
      <w:r w:rsidRPr="00072B0A">
        <w:rPr>
          <w:rFonts w:asciiTheme="minorHAnsi" w:hAnsiTheme="minorHAnsi" w:cstheme="minorHAnsi"/>
          <w:color w:val="333333"/>
        </w:rPr>
        <w:t>Schools: 441 schools totaling $7 billion</w:t>
      </w:r>
    </w:p>
    <w:p w14:paraId="65AF96F5" w14:textId="77777777" w:rsidR="00D31E2F" w:rsidRPr="00072B0A" w:rsidRDefault="00D31E2F" w:rsidP="00FA1542">
      <w:pPr>
        <w:pStyle w:val="elementor-icon-list-item"/>
        <w:numPr>
          <w:ilvl w:val="2"/>
          <w:numId w:val="11"/>
        </w:numPr>
        <w:spacing w:after="0"/>
        <w:ind w:left="1260"/>
        <w:textAlignment w:val="baseline"/>
        <w:rPr>
          <w:rFonts w:asciiTheme="minorHAnsi" w:hAnsiTheme="minorHAnsi" w:cstheme="minorHAnsi"/>
          <w:color w:val="333333"/>
        </w:rPr>
      </w:pPr>
      <w:r w:rsidRPr="00072B0A">
        <w:rPr>
          <w:rFonts w:asciiTheme="minorHAnsi" w:hAnsiTheme="minorHAnsi" w:cstheme="minorHAnsi"/>
          <w:color w:val="333333"/>
        </w:rPr>
        <w:t xml:space="preserve">Clean Water: 31 projects totaling $1.1 </w:t>
      </w:r>
      <w:proofErr w:type="gramStart"/>
      <w:r w:rsidRPr="00072B0A">
        <w:rPr>
          <w:rFonts w:asciiTheme="minorHAnsi" w:hAnsiTheme="minorHAnsi" w:cstheme="minorHAnsi"/>
          <w:color w:val="333333"/>
        </w:rPr>
        <w:t>billion</w:t>
      </w:r>
      <w:proofErr w:type="gramEnd"/>
    </w:p>
    <w:p w14:paraId="56D3EA8D" w14:textId="5599B23A" w:rsidR="00065DEE" w:rsidRPr="00072B0A" w:rsidRDefault="00065DEE" w:rsidP="00065DEE">
      <w:pPr>
        <w:pStyle w:val="elementor-icon-list-item"/>
        <w:numPr>
          <w:ilvl w:val="0"/>
          <w:numId w:val="11"/>
        </w:numPr>
        <w:spacing w:before="0" w:beforeAutospacing="0" w:after="0" w:afterAutospacing="0"/>
        <w:textAlignment w:val="baseline"/>
        <w:rPr>
          <w:rFonts w:asciiTheme="minorHAnsi" w:hAnsiTheme="minorHAnsi" w:cstheme="minorHAnsi"/>
          <w:color w:val="333333"/>
        </w:rPr>
      </w:pPr>
      <w:r w:rsidRPr="00072B0A">
        <w:rPr>
          <w:rFonts w:asciiTheme="minorHAnsi" w:hAnsiTheme="minorHAnsi" w:cstheme="minorHAnsi"/>
          <w:b/>
          <w:bCs/>
          <w:color w:val="333333"/>
        </w:rPr>
        <w:t>The road to economic recovery will be long and difficult</w:t>
      </w:r>
      <w:r w:rsidRPr="00072B0A">
        <w:rPr>
          <w:rFonts w:asciiTheme="minorHAnsi" w:hAnsiTheme="minorHAnsi" w:cstheme="minorHAnsi"/>
          <w:color w:val="333333"/>
        </w:rPr>
        <w:t xml:space="preserve">. </w:t>
      </w:r>
      <w:r w:rsidR="00D31E2F" w:rsidRPr="00072B0A">
        <w:rPr>
          <w:rFonts w:asciiTheme="minorHAnsi" w:hAnsiTheme="minorHAnsi" w:cstheme="minorHAnsi"/>
          <w:color w:val="333333"/>
        </w:rPr>
        <w:t xml:space="preserve">While high-growth regions are already rebounding, underserved </w:t>
      </w:r>
      <w:proofErr w:type="gramStart"/>
      <w:r w:rsidR="00D31E2F" w:rsidRPr="00072B0A">
        <w:rPr>
          <w:rFonts w:asciiTheme="minorHAnsi" w:hAnsiTheme="minorHAnsi" w:cstheme="minorHAnsi"/>
          <w:color w:val="333333"/>
        </w:rPr>
        <w:t>communities</w:t>
      </w:r>
      <w:proofErr w:type="gramEnd"/>
      <w:r w:rsidR="00D31E2F" w:rsidRPr="00072B0A">
        <w:rPr>
          <w:rFonts w:asciiTheme="minorHAnsi" w:hAnsiTheme="minorHAnsi" w:cstheme="minorHAnsi"/>
          <w:color w:val="333333"/>
        </w:rPr>
        <w:t xml:space="preserve"> risk being left behind. </w:t>
      </w:r>
      <w:r w:rsidRPr="00072B0A">
        <w:rPr>
          <w:rFonts w:asciiTheme="minorHAnsi" w:hAnsiTheme="minorHAnsi" w:cstheme="minorHAnsi"/>
          <w:color w:val="333333"/>
        </w:rPr>
        <w:t xml:space="preserve">$3.5 billion in additional New Markets Tax Credit allocation (over three years) </w:t>
      </w:r>
      <w:r w:rsidR="00D31E2F" w:rsidRPr="00072B0A">
        <w:rPr>
          <w:rFonts w:asciiTheme="minorHAnsi" w:hAnsiTheme="minorHAnsi" w:cstheme="minorHAnsi"/>
          <w:color w:val="333333"/>
        </w:rPr>
        <w:t>will support the economic recovery of hard-hit communities.</w:t>
      </w:r>
    </w:p>
    <w:p w14:paraId="1ADA07B4" w14:textId="6BB6C796" w:rsidR="00065DEE" w:rsidRPr="00072B0A" w:rsidRDefault="00065DEE" w:rsidP="00065DEE">
      <w:pPr>
        <w:pStyle w:val="elementor-icon-list-item"/>
        <w:numPr>
          <w:ilvl w:val="0"/>
          <w:numId w:val="11"/>
        </w:numPr>
        <w:spacing w:before="0" w:beforeAutospacing="0" w:after="0" w:afterAutospacing="0"/>
        <w:textAlignment w:val="baseline"/>
        <w:rPr>
          <w:rFonts w:asciiTheme="minorHAnsi" w:hAnsiTheme="minorHAnsi" w:cstheme="minorHAnsi"/>
          <w:color w:val="333333"/>
        </w:rPr>
      </w:pPr>
      <w:r w:rsidRPr="00072B0A">
        <w:rPr>
          <w:rFonts w:asciiTheme="minorHAnsi" w:hAnsiTheme="minorHAnsi" w:cstheme="minorHAnsi"/>
          <w:b/>
          <w:bCs/>
          <w:color w:val="333333"/>
        </w:rPr>
        <w:t>Past successes</w:t>
      </w:r>
      <w:r w:rsidR="00072B0A" w:rsidRPr="00072B0A">
        <w:rPr>
          <w:rFonts w:asciiTheme="minorHAnsi" w:hAnsiTheme="minorHAnsi" w:cstheme="minorHAnsi"/>
          <w:b/>
          <w:bCs/>
          <w:color w:val="333333"/>
        </w:rPr>
        <w:t xml:space="preserve"> at economic stabilization</w:t>
      </w:r>
      <w:r w:rsidRPr="00072B0A">
        <w:rPr>
          <w:rFonts w:asciiTheme="minorHAnsi" w:hAnsiTheme="minorHAnsi" w:cstheme="minorHAnsi"/>
          <w:b/>
          <w:bCs/>
          <w:color w:val="333333"/>
        </w:rPr>
        <w:t xml:space="preserve">: </w:t>
      </w:r>
      <w:r w:rsidRPr="00072B0A">
        <w:rPr>
          <w:rFonts w:asciiTheme="minorHAnsi" w:hAnsiTheme="minorHAnsi" w:cstheme="minorHAnsi"/>
          <w:color w:val="333333"/>
        </w:rPr>
        <w:t>During the early stages of the Great Recession, Congress took a variety of actions to help capital-starved communities access the resources they desperately needed, including an additional $1.5 billion in New Markets Tax Credit allocation for 2009 and 2010 to help more communities access financing to keep businesses open and support critical components of the social safety-net. Between 2009 and 2011, the NMTC delivered $23.6 billion to 1,200 businesses, health centers, homeless shelters, and other community facilities, creating 85,000 jobs.</w:t>
      </w:r>
    </w:p>
    <w:p w14:paraId="39664E1F" w14:textId="55593952" w:rsidR="00065DEE" w:rsidRPr="00072B0A" w:rsidRDefault="00065DEE" w:rsidP="00065DEE">
      <w:pPr>
        <w:pStyle w:val="elementor-icon-list-item"/>
        <w:numPr>
          <w:ilvl w:val="0"/>
          <w:numId w:val="11"/>
        </w:numPr>
        <w:spacing w:before="0" w:beforeAutospacing="0" w:after="0" w:afterAutospacing="0"/>
        <w:textAlignment w:val="baseline"/>
        <w:rPr>
          <w:rFonts w:asciiTheme="minorHAnsi" w:hAnsiTheme="minorHAnsi" w:cstheme="minorHAnsi"/>
          <w:color w:val="333333"/>
        </w:rPr>
      </w:pPr>
      <w:r w:rsidRPr="00072B0A">
        <w:rPr>
          <w:rFonts w:asciiTheme="minorHAnsi" w:hAnsiTheme="minorHAnsi" w:cstheme="minorHAnsi"/>
          <w:b/>
          <w:bCs/>
          <w:color w:val="333333"/>
        </w:rPr>
        <w:t xml:space="preserve">Boosting </w:t>
      </w:r>
      <w:r w:rsidR="00D31E2F" w:rsidRPr="00072B0A">
        <w:rPr>
          <w:rFonts w:asciiTheme="minorHAnsi" w:hAnsiTheme="minorHAnsi" w:cstheme="minorHAnsi"/>
          <w:b/>
          <w:bCs/>
          <w:color w:val="333333"/>
        </w:rPr>
        <w:t>s</w:t>
      </w:r>
      <w:r w:rsidRPr="00072B0A">
        <w:rPr>
          <w:rFonts w:asciiTheme="minorHAnsi" w:hAnsiTheme="minorHAnsi" w:cstheme="minorHAnsi"/>
          <w:b/>
          <w:bCs/>
          <w:color w:val="333333"/>
        </w:rPr>
        <w:t xml:space="preserve">tate and </w:t>
      </w:r>
      <w:r w:rsidR="00D31E2F" w:rsidRPr="00072B0A">
        <w:rPr>
          <w:rFonts w:asciiTheme="minorHAnsi" w:hAnsiTheme="minorHAnsi" w:cstheme="minorHAnsi"/>
          <w:b/>
          <w:bCs/>
          <w:color w:val="333333"/>
        </w:rPr>
        <w:t>l</w:t>
      </w:r>
      <w:r w:rsidRPr="00072B0A">
        <w:rPr>
          <w:rFonts w:asciiTheme="minorHAnsi" w:hAnsiTheme="minorHAnsi" w:cstheme="minorHAnsi"/>
          <w:b/>
          <w:bCs/>
          <w:color w:val="333333"/>
        </w:rPr>
        <w:t xml:space="preserve">ocal </w:t>
      </w:r>
      <w:r w:rsidR="00D31E2F" w:rsidRPr="00072B0A">
        <w:rPr>
          <w:rFonts w:asciiTheme="minorHAnsi" w:hAnsiTheme="minorHAnsi" w:cstheme="minorHAnsi"/>
          <w:b/>
          <w:bCs/>
          <w:color w:val="333333"/>
        </w:rPr>
        <w:t>t</w:t>
      </w:r>
      <w:r w:rsidRPr="00072B0A">
        <w:rPr>
          <w:rFonts w:asciiTheme="minorHAnsi" w:hAnsiTheme="minorHAnsi" w:cstheme="minorHAnsi"/>
          <w:b/>
          <w:bCs/>
          <w:color w:val="333333"/>
        </w:rPr>
        <w:t xml:space="preserve">ax </w:t>
      </w:r>
      <w:r w:rsidR="00D31E2F" w:rsidRPr="00072B0A">
        <w:rPr>
          <w:rFonts w:asciiTheme="minorHAnsi" w:hAnsiTheme="minorHAnsi" w:cstheme="minorHAnsi"/>
          <w:b/>
          <w:bCs/>
          <w:color w:val="333333"/>
        </w:rPr>
        <w:t>r</w:t>
      </w:r>
      <w:r w:rsidRPr="00072B0A">
        <w:rPr>
          <w:rFonts w:asciiTheme="minorHAnsi" w:hAnsiTheme="minorHAnsi" w:cstheme="minorHAnsi"/>
          <w:b/>
          <w:bCs/>
          <w:color w:val="333333"/>
        </w:rPr>
        <w:t xml:space="preserve">evenue: </w:t>
      </w:r>
      <w:r w:rsidR="00D31E2F" w:rsidRPr="00072B0A">
        <w:rPr>
          <w:rFonts w:asciiTheme="minorHAnsi" w:hAnsiTheme="minorHAnsi" w:cstheme="minorHAnsi"/>
          <w:color w:val="333333"/>
        </w:rPr>
        <w:t>States and localities face yawning budget gaps that threaten to derail the economic recovery.</w:t>
      </w:r>
      <w:r w:rsidR="00D31E2F" w:rsidRPr="00072B0A">
        <w:rPr>
          <w:rFonts w:asciiTheme="minorHAnsi" w:hAnsiTheme="minorHAnsi" w:cstheme="minorHAnsi"/>
          <w:b/>
          <w:bCs/>
          <w:color w:val="333333"/>
        </w:rPr>
        <w:t xml:space="preserve"> </w:t>
      </w:r>
      <w:r w:rsidRPr="00072B0A">
        <w:rPr>
          <w:rFonts w:asciiTheme="minorHAnsi" w:hAnsiTheme="minorHAnsi" w:cstheme="minorHAnsi"/>
          <w:color w:val="333333"/>
        </w:rPr>
        <w:t>By stabilizing and revitalizing local economies, the NMTC helps boost tax revenue for state and local governments. Between 2003 and 2015, NMTC investments generated $6.7 billion in state and local tax revenue, including $502 million in 2015 alone.</w:t>
      </w:r>
    </w:p>
    <w:p w14:paraId="24CFCAEA" w14:textId="77777777" w:rsidR="00065DEE" w:rsidRPr="00072B0A" w:rsidRDefault="00065DEE" w:rsidP="00065DEE">
      <w:pPr>
        <w:pStyle w:val="elementor-icon-list-item"/>
        <w:numPr>
          <w:ilvl w:val="0"/>
          <w:numId w:val="11"/>
        </w:numPr>
        <w:spacing w:before="0" w:beforeAutospacing="0" w:after="0" w:afterAutospacing="0"/>
        <w:textAlignment w:val="baseline"/>
        <w:rPr>
          <w:rFonts w:asciiTheme="minorHAnsi" w:hAnsiTheme="minorHAnsi" w:cstheme="minorHAnsi"/>
          <w:color w:val="333333"/>
        </w:rPr>
      </w:pPr>
      <w:r w:rsidRPr="00072B0A">
        <w:rPr>
          <w:rFonts w:asciiTheme="minorHAnsi" w:hAnsiTheme="minorHAnsi" w:cstheme="minorHAnsi"/>
          <w:b/>
          <w:bCs/>
          <w:color w:val="333333"/>
        </w:rPr>
        <w:t xml:space="preserve">Ability to deploy the funds quickly: </w:t>
      </w:r>
      <w:r w:rsidRPr="00072B0A">
        <w:rPr>
          <w:rFonts w:asciiTheme="minorHAnsi" w:hAnsiTheme="minorHAnsi" w:cstheme="minorHAnsi"/>
          <w:color w:val="333333"/>
        </w:rPr>
        <w:t>Community development entities (CDEs), investors, and New Markets Tax Credit practitioners have proven they can quickly deliver $7 billion in annual allocation to businesses and revitalization projects. In 2016, the CDFI Fund combined the 2015 and 2016 rounds and awarded $7 billion in allocation to over 100 organizations. It only took CDEs eighteen months to deploy $7 billion to distressed communities.</w:t>
      </w:r>
    </w:p>
    <w:p w14:paraId="77827AAE" w14:textId="77777777" w:rsidR="00065DEE" w:rsidRPr="00072B0A" w:rsidRDefault="00065DEE" w:rsidP="00FA1542">
      <w:pPr>
        <w:pStyle w:val="NoSpacing"/>
      </w:pPr>
    </w:p>
    <w:p w14:paraId="0E25947B" w14:textId="78878490" w:rsidR="00307E3D" w:rsidRPr="00072B0A" w:rsidRDefault="00072B0A" w:rsidP="00072B0A">
      <w:pPr>
        <w:pStyle w:val="Heading1"/>
        <w:pBdr>
          <w:top w:val="single" w:sz="4" w:space="1" w:color="auto"/>
          <w:left w:val="single" w:sz="4" w:space="4" w:color="auto"/>
          <w:bottom w:val="single" w:sz="4" w:space="1" w:color="auto"/>
          <w:right w:val="single" w:sz="4" w:space="4" w:color="auto"/>
        </w:pBdr>
        <w:shd w:val="clear" w:color="auto" w:fill="EDEDED" w:themeFill="accent3" w:themeFillTint="33"/>
        <w:rPr>
          <w:rStyle w:val="elementor-icon-list-text"/>
          <w:rFonts w:asciiTheme="minorHAnsi" w:hAnsiTheme="minorHAnsi" w:cstheme="minorHAnsi"/>
          <w:color w:val="333333"/>
        </w:rPr>
      </w:pPr>
      <w:r>
        <w:rPr>
          <w:rStyle w:val="elementor-icon-list-text"/>
          <w:rFonts w:asciiTheme="minorHAnsi" w:hAnsiTheme="minorHAnsi" w:cstheme="minorHAnsi"/>
          <w:color w:val="333333"/>
        </w:rPr>
        <w:t xml:space="preserve">Ask #3: </w:t>
      </w:r>
      <w:r w:rsidR="00307E3D" w:rsidRPr="00072B0A">
        <w:rPr>
          <w:rStyle w:val="elementor-icon-list-text"/>
          <w:rFonts w:asciiTheme="minorHAnsi" w:hAnsiTheme="minorHAnsi" w:cstheme="minorHAnsi"/>
          <w:color w:val="333333"/>
        </w:rPr>
        <w:t xml:space="preserve">Support provisions to establish a set-aside of allocation authority for Indian </w:t>
      </w:r>
      <w:proofErr w:type="gramStart"/>
      <w:r w:rsidR="00307E3D" w:rsidRPr="00072B0A">
        <w:rPr>
          <w:rStyle w:val="elementor-icon-list-text"/>
          <w:rFonts w:asciiTheme="minorHAnsi" w:hAnsiTheme="minorHAnsi" w:cstheme="minorHAnsi"/>
          <w:color w:val="333333"/>
        </w:rPr>
        <w:t>country</w:t>
      </w:r>
      <w:proofErr w:type="gramEnd"/>
    </w:p>
    <w:p w14:paraId="74344EC4" w14:textId="2E1F57E9" w:rsidR="00D31E2F" w:rsidRPr="00072B0A" w:rsidRDefault="00D31E2F" w:rsidP="00D31E2F">
      <w:pPr>
        <w:pStyle w:val="elementor-icon-list-item"/>
        <w:numPr>
          <w:ilvl w:val="0"/>
          <w:numId w:val="12"/>
        </w:numPr>
        <w:spacing w:before="0" w:beforeAutospacing="0" w:after="0" w:afterAutospacing="0"/>
        <w:textAlignment w:val="baseline"/>
        <w:rPr>
          <w:rFonts w:asciiTheme="minorHAnsi" w:hAnsiTheme="minorHAnsi" w:cstheme="minorHAnsi"/>
          <w:color w:val="333333"/>
        </w:rPr>
      </w:pPr>
      <w:r w:rsidRPr="00072B0A">
        <w:rPr>
          <w:rFonts w:asciiTheme="minorHAnsi" w:hAnsiTheme="minorHAnsi" w:cstheme="minorHAnsi"/>
          <w:b/>
          <w:bCs/>
          <w:color w:val="333333"/>
        </w:rPr>
        <w:t>Details:</w:t>
      </w:r>
      <w:r w:rsidRPr="00072B0A">
        <w:rPr>
          <w:rFonts w:asciiTheme="minorHAnsi" w:hAnsiTheme="minorHAnsi" w:cstheme="minorHAnsi"/>
          <w:color w:val="333333"/>
        </w:rPr>
        <w:t xml:space="preserve"> Amend the statute to ensure tribes and Native populations receive a proportional share of NMTC investments based on their share of poverty. This provision would target at least 5 percent of NMTC allocation for investments in Indian Country. H.R. 2, the Moving Forward Act passed by the House in 2020, included similar provisions.</w:t>
      </w:r>
      <w:r w:rsidR="00202D98">
        <w:rPr>
          <w:rFonts w:asciiTheme="minorHAnsi" w:hAnsiTheme="minorHAnsi" w:cstheme="minorHAnsi"/>
          <w:color w:val="333333"/>
        </w:rPr>
        <w:t xml:space="preserve"> If </w:t>
      </w:r>
      <w:r w:rsidR="00A41389">
        <w:rPr>
          <w:rFonts w:asciiTheme="minorHAnsi" w:hAnsiTheme="minorHAnsi" w:cstheme="minorHAnsi"/>
          <w:color w:val="333333"/>
        </w:rPr>
        <w:t>the American Jobs Plan</w:t>
      </w:r>
      <w:r w:rsidR="00202D98">
        <w:rPr>
          <w:rFonts w:asciiTheme="minorHAnsi" w:hAnsiTheme="minorHAnsi" w:cstheme="minorHAnsi"/>
          <w:color w:val="333333"/>
        </w:rPr>
        <w:t xml:space="preserve"> moves through Budget Reconciliation</w:t>
      </w:r>
      <w:r w:rsidR="00A41389">
        <w:rPr>
          <w:rFonts w:asciiTheme="minorHAnsi" w:hAnsiTheme="minorHAnsi" w:cstheme="minorHAnsi"/>
          <w:color w:val="333333"/>
        </w:rPr>
        <w:t xml:space="preserve"> (and </w:t>
      </w:r>
      <w:proofErr w:type="gramStart"/>
      <w:r w:rsidR="00A41389">
        <w:rPr>
          <w:rFonts w:asciiTheme="minorHAnsi" w:hAnsiTheme="minorHAnsi" w:cstheme="minorHAnsi"/>
          <w:color w:val="333333"/>
        </w:rPr>
        <w:t>set-asides</w:t>
      </w:r>
      <w:proofErr w:type="gramEnd"/>
      <w:r w:rsidR="00A41389">
        <w:rPr>
          <w:rFonts w:asciiTheme="minorHAnsi" w:hAnsiTheme="minorHAnsi" w:cstheme="minorHAnsi"/>
          <w:color w:val="333333"/>
        </w:rPr>
        <w:t xml:space="preserve"> are impossible due to the rules of the Reconciliation process)</w:t>
      </w:r>
      <w:r w:rsidR="00202D98">
        <w:rPr>
          <w:rFonts w:asciiTheme="minorHAnsi" w:hAnsiTheme="minorHAnsi" w:cstheme="minorHAnsi"/>
          <w:color w:val="333333"/>
        </w:rPr>
        <w:t xml:space="preserve">, we suggest increasing NMTC allocation by at least 5 percent and directing those funds to Indian Country. </w:t>
      </w:r>
    </w:p>
    <w:p w14:paraId="4583F61B" w14:textId="308B18C5" w:rsidR="00597F8E" w:rsidRPr="00072B0A" w:rsidRDefault="00D31E2F" w:rsidP="00D31E2F">
      <w:pPr>
        <w:pStyle w:val="elementor-icon-list-item"/>
        <w:numPr>
          <w:ilvl w:val="0"/>
          <w:numId w:val="12"/>
        </w:numPr>
        <w:spacing w:before="0" w:beforeAutospacing="0" w:after="0" w:afterAutospacing="0"/>
        <w:textAlignment w:val="baseline"/>
        <w:rPr>
          <w:rFonts w:asciiTheme="minorHAnsi" w:hAnsiTheme="minorHAnsi" w:cstheme="minorHAnsi"/>
          <w:color w:val="333333"/>
        </w:rPr>
      </w:pPr>
      <w:r w:rsidRPr="00072B0A">
        <w:rPr>
          <w:rFonts w:asciiTheme="minorHAnsi" w:hAnsiTheme="minorHAnsi" w:cstheme="minorHAnsi"/>
          <w:b/>
          <w:bCs/>
          <w:color w:val="333333"/>
        </w:rPr>
        <w:lastRenderedPageBreak/>
        <w:t>The need is great.</w:t>
      </w:r>
      <w:r w:rsidRPr="00072B0A">
        <w:rPr>
          <w:rFonts w:asciiTheme="minorHAnsi" w:hAnsiTheme="minorHAnsi" w:cstheme="minorHAnsi"/>
          <w:color w:val="333333"/>
        </w:rPr>
        <w:t xml:space="preserve"> </w:t>
      </w:r>
      <w:r w:rsidR="00597F8E" w:rsidRPr="00072B0A">
        <w:rPr>
          <w:rFonts w:asciiTheme="minorHAnsi" w:hAnsiTheme="minorHAnsi" w:cstheme="minorHAnsi"/>
          <w:color w:val="333333"/>
        </w:rPr>
        <w:t>Indian Country needs access to capital for new and expanded businesses and social services. Stats:</w:t>
      </w:r>
    </w:p>
    <w:p w14:paraId="62C83DE8" w14:textId="4908801F" w:rsidR="00597F8E" w:rsidRPr="00072B0A" w:rsidRDefault="00597F8E" w:rsidP="00597F8E">
      <w:pPr>
        <w:pStyle w:val="elementor-icon-list-item"/>
        <w:numPr>
          <w:ilvl w:val="1"/>
          <w:numId w:val="12"/>
        </w:numPr>
        <w:spacing w:before="0" w:beforeAutospacing="0" w:after="0" w:afterAutospacing="0"/>
        <w:textAlignment w:val="baseline"/>
        <w:rPr>
          <w:rFonts w:asciiTheme="minorHAnsi" w:hAnsiTheme="minorHAnsi" w:cstheme="minorHAnsi"/>
          <w:color w:val="333333"/>
        </w:rPr>
      </w:pPr>
      <w:r w:rsidRPr="00072B0A">
        <w:rPr>
          <w:rFonts w:asciiTheme="minorHAnsi" w:hAnsiTheme="minorHAnsi" w:cstheme="minorHAnsi"/>
          <w:b/>
          <w:bCs/>
          <w:color w:val="333333"/>
        </w:rPr>
        <w:t>Poverty:</w:t>
      </w:r>
      <w:r w:rsidRPr="00072B0A">
        <w:rPr>
          <w:rFonts w:asciiTheme="minorHAnsi" w:hAnsiTheme="minorHAnsi" w:cstheme="minorHAnsi"/>
          <w:color w:val="333333"/>
        </w:rPr>
        <w:t xml:space="preserve"> 23 percent of American Indians and Alaska Natives live in poverty, compared to just 12.3 percent of all Americans (2019).</w:t>
      </w:r>
    </w:p>
    <w:p w14:paraId="08A24CC3" w14:textId="0C6CBAAF" w:rsidR="00597F8E" w:rsidRPr="00072B0A" w:rsidRDefault="00597F8E" w:rsidP="001F2419">
      <w:pPr>
        <w:pStyle w:val="ListParagraph"/>
        <w:numPr>
          <w:ilvl w:val="1"/>
          <w:numId w:val="12"/>
        </w:numPr>
        <w:spacing w:after="0"/>
        <w:textAlignment w:val="baseline"/>
        <w:rPr>
          <w:rFonts w:eastAsia="Times New Roman" w:cstheme="minorHAnsi"/>
          <w:color w:val="333333"/>
          <w:sz w:val="24"/>
          <w:szCs w:val="24"/>
        </w:rPr>
      </w:pPr>
      <w:r w:rsidRPr="00072B0A">
        <w:rPr>
          <w:rFonts w:cstheme="minorHAnsi"/>
          <w:b/>
          <w:bCs/>
          <w:color w:val="333333"/>
        </w:rPr>
        <w:t>Healthcare outcomes:</w:t>
      </w:r>
      <w:r w:rsidRPr="00072B0A">
        <w:rPr>
          <w:rFonts w:cstheme="minorHAnsi"/>
          <w:color w:val="333333"/>
        </w:rPr>
        <w:t xml:space="preserve"> American Indians and Alaska Natives die of heart disease at a rate 1.3 times higher than all other races; diabetes at a rate of 3.2 times higher; chronic liver disease and cirrhosis at a rate of 4.6 times higher. </w:t>
      </w:r>
      <w:r w:rsidRPr="00072B0A">
        <w:rPr>
          <w:rFonts w:eastAsia="Times New Roman" w:cstheme="minorHAnsi"/>
          <w:color w:val="333333"/>
          <w:sz w:val="24"/>
          <w:szCs w:val="24"/>
        </w:rPr>
        <w:t xml:space="preserve">When compared to all other U.S. races, American Indians and Alaska Natives have a lower life expectancy by 5.5 years. </w:t>
      </w:r>
    </w:p>
    <w:p w14:paraId="0984F5DB" w14:textId="2EE2007F" w:rsidR="00D31E2F" w:rsidRPr="00072B0A" w:rsidRDefault="00597F8E" w:rsidP="00597F8E">
      <w:pPr>
        <w:pStyle w:val="ListParagraph"/>
        <w:numPr>
          <w:ilvl w:val="1"/>
          <w:numId w:val="12"/>
        </w:numPr>
        <w:spacing w:after="0"/>
        <w:textAlignment w:val="baseline"/>
        <w:rPr>
          <w:rFonts w:eastAsia="Times New Roman" w:cstheme="minorHAnsi"/>
          <w:color w:val="333333"/>
          <w:sz w:val="24"/>
          <w:szCs w:val="24"/>
        </w:rPr>
      </w:pPr>
      <w:r w:rsidRPr="00072B0A">
        <w:rPr>
          <w:rFonts w:cstheme="minorHAnsi"/>
          <w:b/>
          <w:bCs/>
          <w:color w:val="333333"/>
        </w:rPr>
        <w:t>Covid:</w:t>
      </w:r>
      <w:r w:rsidRPr="00072B0A">
        <w:rPr>
          <w:rFonts w:eastAsia="Times New Roman" w:cstheme="minorHAnsi"/>
          <w:color w:val="333333"/>
          <w:sz w:val="24"/>
          <w:szCs w:val="24"/>
        </w:rPr>
        <w:t xml:space="preserve"> American Indians and Alaska Natives who contract Covid-19 are 3.5 times more likely to be hospitalized.</w:t>
      </w:r>
    </w:p>
    <w:p w14:paraId="00E0D2E0" w14:textId="49339A3C" w:rsidR="00D31E2F" w:rsidRPr="00072B0A" w:rsidRDefault="00D31E2F" w:rsidP="00D31E2F">
      <w:pPr>
        <w:pStyle w:val="elementor-icon-list-item"/>
        <w:numPr>
          <w:ilvl w:val="0"/>
          <w:numId w:val="12"/>
        </w:numPr>
        <w:spacing w:before="0" w:beforeAutospacing="0" w:after="0" w:afterAutospacing="0"/>
        <w:textAlignment w:val="baseline"/>
        <w:rPr>
          <w:rFonts w:asciiTheme="minorHAnsi" w:hAnsiTheme="minorHAnsi" w:cstheme="minorHAnsi"/>
          <w:color w:val="333333"/>
        </w:rPr>
      </w:pPr>
      <w:r w:rsidRPr="00072B0A">
        <w:rPr>
          <w:rFonts w:asciiTheme="minorHAnsi" w:hAnsiTheme="minorHAnsi" w:cstheme="minorHAnsi"/>
          <w:b/>
          <w:bCs/>
          <w:color w:val="333333"/>
        </w:rPr>
        <w:t>The need is not being met.</w:t>
      </w:r>
      <w:r w:rsidRPr="00072B0A">
        <w:rPr>
          <w:rFonts w:asciiTheme="minorHAnsi" w:hAnsiTheme="minorHAnsi" w:cstheme="minorHAnsi"/>
          <w:color w:val="333333"/>
        </w:rPr>
        <w:t xml:space="preserve"> Historically, about 2</w:t>
      </w:r>
      <w:r w:rsidR="00597F8E" w:rsidRPr="00072B0A">
        <w:rPr>
          <w:rFonts w:asciiTheme="minorHAnsi" w:hAnsiTheme="minorHAnsi" w:cstheme="minorHAnsi"/>
          <w:color w:val="333333"/>
        </w:rPr>
        <w:t>-3</w:t>
      </w:r>
      <w:r w:rsidRPr="00072B0A">
        <w:rPr>
          <w:rFonts w:asciiTheme="minorHAnsi" w:hAnsiTheme="minorHAnsi" w:cstheme="minorHAnsi"/>
          <w:color w:val="333333"/>
        </w:rPr>
        <w:t xml:space="preserve"> percent of NMTC allocation </w:t>
      </w:r>
      <w:r w:rsidR="00597F8E" w:rsidRPr="00072B0A">
        <w:rPr>
          <w:rFonts w:asciiTheme="minorHAnsi" w:hAnsiTheme="minorHAnsi" w:cstheme="minorHAnsi"/>
          <w:color w:val="333333"/>
        </w:rPr>
        <w:t xml:space="preserve">goes to Indian Country each year. </w:t>
      </w:r>
      <w:r w:rsidR="00072B0A" w:rsidRPr="00072B0A">
        <w:rPr>
          <w:rFonts w:asciiTheme="minorHAnsi" w:hAnsiTheme="minorHAnsi" w:cstheme="minorHAnsi"/>
          <w:color w:val="333333"/>
        </w:rPr>
        <w:t xml:space="preserve">This would double that. </w:t>
      </w:r>
    </w:p>
    <w:p w14:paraId="1DA350FC" w14:textId="77777777" w:rsidR="00D31E2F" w:rsidRPr="00072B0A" w:rsidRDefault="00D31E2F" w:rsidP="00FA1542">
      <w:pPr>
        <w:pStyle w:val="NoSpacing"/>
      </w:pPr>
    </w:p>
    <w:p w14:paraId="52BDF78B" w14:textId="46DDA8D3" w:rsidR="00307E3D" w:rsidRPr="00072B0A" w:rsidRDefault="00072B0A" w:rsidP="00072B0A">
      <w:pPr>
        <w:pStyle w:val="Heading1"/>
        <w:pBdr>
          <w:top w:val="single" w:sz="4" w:space="1" w:color="auto"/>
          <w:left w:val="single" w:sz="4" w:space="4" w:color="auto"/>
          <w:bottom w:val="single" w:sz="4" w:space="1" w:color="auto"/>
          <w:right w:val="single" w:sz="4" w:space="4" w:color="auto"/>
        </w:pBdr>
        <w:shd w:val="clear" w:color="auto" w:fill="EDEDED" w:themeFill="accent3" w:themeFillTint="33"/>
        <w:rPr>
          <w:rStyle w:val="elementor-icon-list-text"/>
          <w:rFonts w:asciiTheme="minorHAnsi" w:hAnsiTheme="minorHAnsi" w:cstheme="minorHAnsi"/>
          <w:color w:val="333333"/>
        </w:rPr>
      </w:pPr>
      <w:r w:rsidRPr="00072B0A">
        <w:rPr>
          <w:rStyle w:val="elementor-icon-list-text"/>
          <w:rFonts w:asciiTheme="minorHAnsi" w:hAnsiTheme="minorHAnsi" w:cstheme="minorHAnsi"/>
          <w:color w:val="333333"/>
        </w:rPr>
        <w:t xml:space="preserve">Ask #4: </w:t>
      </w:r>
      <w:r w:rsidR="00307E3D" w:rsidRPr="00072B0A">
        <w:rPr>
          <w:rStyle w:val="elementor-icon-list-text"/>
          <w:rFonts w:asciiTheme="minorHAnsi" w:hAnsiTheme="minorHAnsi" w:cstheme="minorHAnsi"/>
          <w:color w:val="333333"/>
        </w:rPr>
        <w:t xml:space="preserve">Support provisions to establish a set-aside of allocation authority and technical assistance to minority-controlled </w:t>
      </w:r>
      <w:proofErr w:type="gramStart"/>
      <w:r w:rsidR="00307E3D" w:rsidRPr="00072B0A">
        <w:rPr>
          <w:rStyle w:val="elementor-icon-list-text"/>
          <w:rFonts w:asciiTheme="minorHAnsi" w:hAnsiTheme="minorHAnsi" w:cstheme="minorHAnsi"/>
          <w:color w:val="333333"/>
        </w:rPr>
        <w:t>CDEs</w:t>
      </w:r>
      <w:proofErr w:type="gramEnd"/>
    </w:p>
    <w:p w14:paraId="041048F7" w14:textId="74FD7BC1" w:rsidR="00ED324D" w:rsidRPr="00072B0A" w:rsidRDefault="00597F8E" w:rsidP="00E66165">
      <w:pPr>
        <w:pStyle w:val="elementor-icon-list-item"/>
        <w:numPr>
          <w:ilvl w:val="0"/>
          <w:numId w:val="13"/>
        </w:numPr>
        <w:spacing w:before="0" w:beforeAutospacing="0" w:after="0" w:afterAutospacing="0"/>
        <w:textAlignment w:val="baseline"/>
        <w:rPr>
          <w:rFonts w:asciiTheme="minorHAnsi" w:hAnsiTheme="minorHAnsi" w:cstheme="minorHAnsi"/>
          <w:color w:val="333333"/>
        </w:rPr>
      </w:pPr>
      <w:r w:rsidRPr="00072B0A">
        <w:rPr>
          <w:rFonts w:asciiTheme="minorHAnsi" w:hAnsiTheme="minorHAnsi" w:cstheme="minorHAnsi"/>
          <w:b/>
          <w:bCs/>
          <w:color w:val="333333"/>
        </w:rPr>
        <w:t>Details:</w:t>
      </w:r>
      <w:r w:rsidRPr="00072B0A">
        <w:rPr>
          <w:rFonts w:asciiTheme="minorHAnsi" w:hAnsiTheme="minorHAnsi" w:cstheme="minorHAnsi"/>
          <w:color w:val="333333"/>
        </w:rPr>
        <w:t xml:space="preserve"> Provide a 5 percent set-aside for CDEs owned or controlled by people of color</w:t>
      </w:r>
      <w:r w:rsidR="00ED324D" w:rsidRPr="00072B0A">
        <w:rPr>
          <w:rFonts w:asciiTheme="minorHAnsi" w:hAnsiTheme="minorHAnsi" w:cstheme="minorHAnsi"/>
          <w:color w:val="333333"/>
        </w:rPr>
        <w:t>,</w:t>
      </w:r>
      <w:r w:rsidRPr="00072B0A">
        <w:rPr>
          <w:rFonts w:asciiTheme="minorHAnsi" w:hAnsiTheme="minorHAnsi" w:cstheme="minorHAnsi"/>
          <w:color w:val="333333"/>
        </w:rPr>
        <w:t xml:space="preserve"> </w:t>
      </w:r>
      <w:proofErr w:type="gramStart"/>
      <w:r w:rsidRPr="00072B0A">
        <w:rPr>
          <w:rFonts w:asciiTheme="minorHAnsi" w:hAnsiTheme="minorHAnsi" w:cstheme="minorHAnsi"/>
          <w:color w:val="333333"/>
        </w:rPr>
        <w:t>Provide</w:t>
      </w:r>
      <w:proofErr w:type="gramEnd"/>
      <w:r w:rsidRPr="00072B0A">
        <w:rPr>
          <w:rFonts w:asciiTheme="minorHAnsi" w:hAnsiTheme="minorHAnsi" w:cstheme="minorHAnsi"/>
          <w:color w:val="333333"/>
        </w:rPr>
        <w:t xml:space="preserve"> </w:t>
      </w:r>
      <w:r w:rsidR="00ED324D" w:rsidRPr="00072B0A">
        <w:rPr>
          <w:rFonts w:asciiTheme="minorHAnsi" w:hAnsiTheme="minorHAnsi" w:cstheme="minorHAnsi"/>
          <w:color w:val="333333"/>
        </w:rPr>
        <w:t xml:space="preserve">$3 million to the CDFI Fund for </w:t>
      </w:r>
      <w:r w:rsidRPr="00072B0A">
        <w:rPr>
          <w:rFonts w:asciiTheme="minorHAnsi" w:hAnsiTheme="minorHAnsi" w:cstheme="minorHAnsi"/>
          <w:color w:val="333333"/>
        </w:rPr>
        <w:t xml:space="preserve">technical assistance grants </w:t>
      </w:r>
      <w:r w:rsidR="00ED324D" w:rsidRPr="00072B0A">
        <w:rPr>
          <w:rFonts w:asciiTheme="minorHAnsi" w:hAnsiTheme="minorHAnsi" w:cstheme="minorHAnsi"/>
          <w:color w:val="333333"/>
        </w:rPr>
        <w:t>and training</w:t>
      </w:r>
      <w:r w:rsidRPr="00072B0A">
        <w:rPr>
          <w:rFonts w:asciiTheme="minorHAnsi" w:hAnsiTheme="minorHAnsi" w:cstheme="minorHAnsi"/>
          <w:color w:val="333333"/>
        </w:rPr>
        <w:t xml:space="preserve"> to boost capacity. These initiatives would provide an on-ramp for minority-controlled CDEs by helping them build a track record of lending and investing through the NMTC</w:t>
      </w:r>
      <w:r w:rsidR="00A41389">
        <w:rPr>
          <w:rFonts w:asciiTheme="minorHAnsi" w:hAnsiTheme="minorHAnsi" w:cstheme="minorHAnsi"/>
          <w:color w:val="333333"/>
        </w:rPr>
        <w:t>.</w:t>
      </w:r>
      <w:r w:rsidR="00A41389" w:rsidRPr="00A41389">
        <w:rPr>
          <w:rFonts w:asciiTheme="minorHAnsi" w:hAnsiTheme="minorHAnsi" w:cstheme="minorHAnsi"/>
          <w:color w:val="333333"/>
        </w:rPr>
        <w:t xml:space="preserve"> </w:t>
      </w:r>
      <w:r w:rsidR="00A41389">
        <w:rPr>
          <w:rFonts w:asciiTheme="minorHAnsi" w:hAnsiTheme="minorHAnsi" w:cstheme="minorHAnsi"/>
          <w:color w:val="333333"/>
        </w:rPr>
        <w:t xml:space="preserve">If the American Jobs Plan moves through Budget Reconciliation (and set-asides are impossible due to the rules of the Reconciliation process), </w:t>
      </w:r>
      <w:r w:rsidR="00A41389">
        <w:rPr>
          <w:rFonts w:asciiTheme="minorHAnsi" w:hAnsiTheme="minorHAnsi" w:cstheme="minorHAnsi"/>
          <w:color w:val="333333"/>
        </w:rPr>
        <w:t>we urge Congress to</w:t>
      </w:r>
      <w:r w:rsidR="00202D98">
        <w:rPr>
          <w:rFonts w:asciiTheme="minorHAnsi" w:hAnsiTheme="minorHAnsi" w:cstheme="minorHAnsi"/>
          <w:color w:val="333333"/>
        </w:rPr>
        <w:t xml:space="preserve"> increas</w:t>
      </w:r>
      <w:r w:rsidR="00A41389">
        <w:rPr>
          <w:rFonts w:asciiTheme="minorHAnsi" w:hAnsiTheme="minorHAnsi" w:cstheme="minorHAnsi"/>
          <w:color w:val="333333"/>
        </w:rPr>
        <w:t>e</w:t>
      </w:r>
      <w:r w:rsidR="00202D98">
        <w:rPr>
          <w:rFonts w:asciiTheme="minorHAnsi" w:hAnsiTheme="minorHAnsi" w:cstheme="minorHAnsi"/>
          <w:color w:val="333333"/>
        </w:rPr>
        <w:t xml:space="preserve"> NMTC allocation by at least 5 percent and setting aside those funds for Minority-Controlled CDEs. </w:t>
      </w:r>
      <w:r w:rsidR="00ED324D" w:rsidRPr="00072B0A">
        <w:rPr>
          <w:rFonts w:asciiTheme="minorHAnsi" w:hAnsiTheme="minorHAnsi" w:cstheme="minorHAnsi"/>
          <w:color w:val="333333"/>
        </w:rPr>
        <w:t xml:space="preserve">Full details: </w:t>
      </w:r>
      <w:hyperlink r:id="rId10" w:history="1">
        <w:r w:rsidR="00ED324D" w:rsidRPr="00072B0A">
          <w:rPr>
            <w:rStyle w:val="Hyperlink"/>
            <w:rFonts w:asciiTheme="minorHAnsi" w:hAnsiTheme="minorHAnsi" w:cstheme="minorHAnsi"/>
          </w:rPr>
          <w:t>https://nmtccoalition.org/wp-content/uploads/M-CDE-Proposal-4-1-2021.docx</w:t>
        </w:r>
      </w:hyperlink>
    </w:p>
    <w:p w14:paraId="5D0B51D5" w14:textId="77777777" w:rsidR="00ED324D" w:rsidRPr="00072B0A" w:rsidRDefault="00ED324D" w:rsidP="00ED324D">
      <w:pPr>
        <w:pStyle w:val="elementor-icon-list-item"/>
        <w:numPr>
          <w:ilvl w:val="0"/>
          <w:numId w:val="13"/>
        </w:numPr>
        <w:spacing w:before="0" w:beforeAutospacing="0" w:after="0" w:afterAutospacing="0"/>
        <w:textAlignment w:val="baseline"/>
        <w:rPr>
          <w:rFonts w:asciiTheme="minorHAnsi" w:hAnsiTheme="minorHAnsi" w:cstheme="minorHAnsi"/>
          <w:color w:val="333333"/>
        </w:rPr>
      </w:pPr>
      <w:r w:rsidRPr="00072B0A">
        <w:rPr>
          <w:rFonts w:asciiTheme="minorHAnsi" w:hAnsiTheme="minorHAnsi" w:cstheme="minorHAnsi"/>
          <w:b/>
          <w:bCs/>
          <w:color w:val="333333"/>
        </w:rPr>
        <w:t>This proposal has the support of the NMTC Coalition:</w:t>
      </w:r>
      <w:r w:rsidRPr="00072B0A">
        <w:rPr>
          <w:rFonts w:asciiTheme="minorHAnsi" w:hAnsiTheme="minorHAnsi" w:cstheme="minorHAnsi"/>
          <w:color w:val="333333"/>
        </w:rPr>
        <w:t xml:space="preserve"> There is great interest among both policymakers and NMTC practitioners in increasing the participation of historically marginalized communities in the NMTC program as CDEs. While the NMTC has delivered substantial investment to majority-minority communities, minority-controlled CDEs have not been as successful as other CDEs in breaking into the program as new CDEs. </w:t>
      </w:r>
    </w:p>
    <w:p w14:paraId="467F3075" w14:textId="0AC60F56" w:rsidR="00597F8E" w:rsidRPr="00072B0A" w:rsidRDefault="00ED324D" w:rsidP="00ED324D">
      <w:pPr>
        <w:pStyle w:val="elementor-icon-list-item"/>
        <w:numPr>
          <w:ilvl w:val="0"/>
          <w:numId w:val="13"/>
        </w:numPr>
        <w:spacing w:before="0" w:beforeAutospacing="0" w:after="0" w:afterAutospacing="0"/>
        <w:textAlignment w:val="baseline"/>
        <w:rPr>
          <w:rFonts w:asciiTheme="minorHAnsi" w:hAnsiTheme="minorHAnsi" w:cstheme="minorHAnsi"/>
          <w:color w:val="333333"/>
        </w:rPr>
      </w:pPr>
      <w:r w:rsidRPr="00072B0A">
        <w:rPr>
          <w:rFonts w:asciiTheme="minorHAnsi" w:hAnsiTheme="minorHAnsi" w:cstheme="minorHAnsi"/>
          <w:b/>
          <w:bCs/>
          <w:color w:val="333333"/>
        </w:rPr>
        <w:t>Representation matters:</w:t>
      </w:r>
      <w:r w:rsidRPr="00072B0A">
        <w:rPr>
          <w:rFonts w:asciiTheme="minorHAnsi" w:hAnsiTheme="minorHAnsi" w:cstheme="minorHAnsi"/>
          <w:color w:val="333333"/>
        </w:rPr>
        <w:t xml:space="preserve"> Representation is incredibly important in community development, and it is essential to the future success of the NMTC. The NMTC Coalition’s proposal would help ease the barrier to entry and helping more </w:t>
      </w:r>
      <w:proofErr w:type="gramStart"/>
      <w:r w:rsidRPr="00072B0A">
        <w:rPr>
          <w:rFonts w:asciiTheme="minorHAnsi" w:hAnsiTheme="minorHAnsi" w:cstheme="minorHAnsi"/>
          <w:color w:val="333333"/>
        </w:rPr>
        <w:t>minority-controlled</w:t>
      </w:r>
      <w:proofErr w:type="gramEnd"/>
      <w:r w:rsidRPr="00072B0A">
        <w:rPr>
          <w:rFonts w:asciiTheme="minorHAnsi" w:hAnsiTheme="minorHAnsi" w:cstheme="minorHAnsi"/>
          <w:color w:val="333333"/>
        </w:rPr>
        <w:t xml:space="preserve"> CDES participate in the program and help them gain a track record </w:t>
      </w:r>
      <w:proofErr w:type="spellStart"/>
      <w:r w:rsidRPr="00072B0A">
        <w:rPr>
          <w:rFonts w:asciiTheme="minorHAnsi" w:hAnsiTheme="minorHAnsi" w:cstheme="minorHAnsi"/>
          <w:color w:val="333333"/>
        </w:rPr>
        <w:t>fo</w:t>
      </w:r>
      <w:proofErr w:type="spellEnd"/>
      <w:r w:rsidRPr="00072B0A">
        <w:rPr>
          <w:rFonts w:asciiTheme="minorHAnsi" w:hAnsiTheme="minorHAnsi" w:cstheme="minorHAnsi"/>
          <w:color w:val="333333"/>
        </w:rPr>
        <w:t xml:space="preserve"> NMTC investment. </w:t>
      </w:r>
    </w:p>
    <w:p w14:paraId="6B46FFE6" w14:textId="77777777" w:rsidR="00072B0A" w:rsidRPr="00072B0A" w:rsidRDefault="00072B0A" w:rsidP="00FA1542">
      <w:pPr>
        <w:pStyle w:val="NoSpacing"/>
      </w:pPr>
    </w:p>
    <w:p w14:paraId="5CCE6690" w14:textId="0A423621" w:rsidR="00307E3D" w:rsidRPr="00072B0A" w:rsidRDefault="00072B0A" w:rsidP="00072B0A">
      <w:pPr>
        <w:pStyle w:val="Heading1"/>
        <w:pBdr>
          <w:top w:val="single" w:sz="4" w:space="1" w:color="auto"/>
          <w:left w:val="single" w:sz="4" w:space="4" w:color="auto"/>
          <w:bottom w:val="single" w:sz="4" w:space="1" w:color="auto"/>
          <w:right w:val="single" w:sz="4" w:space="4" w:color="auto"/>
        </w:pBdr>
        <w:shd w:val="clear" w:color="auto" w:fill="EDEDED" w:themeFill="accent3" w:themeFillTint="33"/>
        <w:rPr>
          <w:rFonts w:asciiTheme="minorHAnsi" w:hAnsiTheme="minorHAnsi" w:cstheme="minorHAnsi"/>
        </w:rPr>
      </w:pPr>
      <w:r w:rsidRPr="00072B0A">
        <w:rPr>
          <w:rStyle w:val="elementor-icon-list-text"/>
          <w:rFonts w:asciiTheme="minorHAnsi" w:hAnsiTheme="minorHAnsi" w:cstheme="minorHAnsi"/>
          <w:color w:val="333333"/>
        </w:rPr>
        <w:t xml:space="preserve">Ask #5: </w:t>
      </w:r>
      <w:r w:rsidR="00307E3D" w:rsidRPr="00072B0A">
        <w:rPr>
          <w:rStyle w:val="elementor-icon-list-text"/>
          <w:rFonts w:asciiTheme="minorHAnsi" w:hAnsiTheme="minorHAnsi" w:cstheme="minorHAnsi"/>
          <w:color w:val="333333"/>
        </w:rPr>
        <w:t>Support provisions to improve investor liquidity</w:t>
      </w:r>
      <w:r w:rsidR="00ED324D" w:rsidRPr="00072B0A">
        <w:rPr>
          <w:rStyle w:val="elementor-icon-list-text"/>
          <w:rFonts w:asciiTheme="minorHAnsi" w:hAnsiTheme="minorHAnsi" w:cstheme="minorHAnsi"/>
          <w:color w:val="333333"/>
        </w:rPr>
        <w:t xml:space="preserve">: </w:t>
      </w:r>
    </w:p>
    <w:p w14:paraId="4C2D0886" w14:textId="312CF30E" w:rsidR="00072B0A" w:rsidRPr="00072B0A" w:rsidRDefault="00072B0A" w:rsidP="00072B0A">
      <w:pPr>
        <w:pStyle w:val="ListParagraph"/>
        <w:numPr>
          <w:ilvl w:val="0"/>
          <w:numId w:val="14"/>
        </w:numPr>
        <w:rPr>
          <w:rFonts w:cstheme="minorHAnsi"/>
          <w:sz w:val="24"/>
          <w:szCs w:val="24"/>
        </w:rPr>
      </w:pPr>
      <w:r w:rsidRPr="00072B0A">
        <w:rPr>
          <w:rFonts w:cstheme="minorHAnsi"/>
          <w:b/>
          <w:bCs/>
          <w:sz w:val="24"/>
          <w:szCs w:val="24"/>
        </w:rPr>
        <w:t>Details:</w:t>
      </w:r>
      <w:r w:rsidRPr="00072B0A">
        <w:rPr>
          <w:rFonts w:cstheme="minorHAnsi"/>
          <w:sz w:val="24"/>
          <w:szCs w:val="24"/>
        </w:rPr>
        <w:t xml:space="preserve"> Provide a temporary lookback for NMTC investors and an exemption from the 75 percent cap on general business tax credits. Exempt the NMTC from existing (and future) corporate minimum taxes. </w:t>
      </w:r>
    </w:p>
    <w:p w14:paraId="4DF1A4DF" w14:textId="4A4ECD76" w:rsidR="00072B0A" w:rsidRPr="00072B0A" w:rsidRDefault="00072B0A" w:rsidP="00072B0A">
      <w:pPr>
        <w:pStyle w:val="ListParagraph"/>
        <w:numPr>
          <w:ilvl w:val="0"/>
          <w:numId w:val="14"/>
        </w:numPr>
        <w:rPr>
          <w:rFonts w:cstheme="minorHAnsi"/>
          <w:sz w:val="24"/>
          <w:szCs w:val="24"/>
        </w:rPr>
      </w:pPr>
      <w:r w:rsidRPr="00072B0A">
        <w:rPr>
          <w:rFonts w:cstheme="minorHAnsi"/>
          <w:sz w:val="24"/>
          <w:szCs w:val="24"/>
        </w:rPr>
        <w:lastRenderedPageBreak/>
        <w:t>NMTC credit pricing has fallen over 10% over the past year.</w:t>
      </w:r>
    </w:p>
    <w:p w14:paraId="3635056D" w14:textId="5A38BE84" w:rsidR="00072B0A" w:rsidRPr="00072B0A" w:rsidRDefault="00072B0A" w:rsidP="00072B0A">
      <w:pPr>
        <w:pStyle w:val="ListParagraph"/>
        <w:numPr>
          <w:ilvl w:val="0"/>
          <w:numId w:val="14"/>
        </w:numPr>
        <w:rPr>
          <w:rFonts w:cstheme="minorHAnsi"/>
          <w:sz w:val="24"/>
          <w:szCs w:val="24"/>
        </w:rPr>
      </w:pPr>
      <w:r w:rsidRPr="00072B0A">
        <w:rPr>
          <w:rFonts w:cstheme="minorHAnsi"/>
          <w:sz w:val="24"/>
          <w:szCs w:val="24"/>
        </w:rPr>
        <w:t xml:space="preserve">These changes would: </w:t>
      </w:r>
    </w:p>
    <w:p w14:paraId="2B1DF174" w14:textId="294F6DCA" w:rsidR="00072B0A" w:rsidRPr="00072B0A" w:rsidRDefault="00072B0A" w:rsidP="00072B0A">
      <w:pPr>
        <w:pStyle w:val="ListParagraph"/>
        <w:numPr>
          <w:ilvl w:val="1"/>
          <w:numId w:val="14"/>
        </w:numPr>
        <w:rPr>
          <w:rFonts w:cstheme="minorHAnsi"/>
          <w:sz w:val="24"/>
          <w:szCs w:val="24"/>
        </w:rPr>
      </w:pPr>
      <w:r w:rsidRPr="00072B0A">
        <w:rPr>
          <w:rFonts w:cstheme="minorHAnsi"/>
          <w:sz w:val="24"/>
          <w:szCs w:val="24"/>
        </w:rPr>
        <w:t xml:space="preserve">Diversify the NMTC investor market and boost the benefit to low-income </w:t>
      </w:r>
      <w:proofErr w:type="gramStart"/>
      <w:r w:rsidRPr="00072B0A">
        <w:rPr>
          <w:rFonts w:cstheme="minorHAnsi"/>
          <w:sz w:val="24"/>
          <w:szCs w:val="24"/>
        </w:rPr>
        <w:t>communities;</w:t>
      </w:r>
      <w:proofErr w:type="gramEnd"/>
    </w:p>
    <w:p w14:paraId="5FA33C42" w14:textId="3C07BE46" w:rsidR="00307E3D" w:rsidRDefault="00072B0A" w:rsidP="00072B0A">
      <w:pPr>
        <w:pStyle w:val="ListParagraph"/>
        <w:numPr>
          <w:ilvl w:val="1"/>
          <w:numId w:val="14"/>
        </w:numPr>
        <w:rPr>
          <w:rFonts w:cstheme="minorHAnsi"/>
          <w:sz w:val="24"/>
          <w:szCs w:val="24"/>
        </w:rPr>
      </w:pPr>
      <w:r w:rsidRPr="00072B0A">
        <w:rPr>
          <w:rFonts w:cstheme="minorHAnsi"/>
          <w:sz w:val="24"/>
          <w:szCs w:val="24"/>
        </w:rPr>
        <w:t>Insulate against a decline in credit pricing during a recession – when the program is needed most.</w:t>
      </w:r>
    </w:p>
    <w:p w14:paraId="101B654A" w14:textId="5CCC8482" w:rsidR="00FA1542" w:rsidRDefault="00FA1542" w:rsidP="00FA1542">
      <w:pPr>
        <w:rPr>
          <w:rFonts w:cstheme="minorHAnsi"/>
          <w:sz w:val="24"/>
          <w:szCs w:val="24"/>
        </w:rPr>
      </w:pPr>
    </w:p>
    <w:p w14:paraId="2D0465D7" w14:textId="1CC3B130" w:rsidR="00FA1542" w:rsidRDefault="00FA1542" w:rsidP="00FA1542">
      <w:pPr>
        <w:rPr>
          <w:rFonts w:cstheme="minorHAnsi"/>
          <w:sz w:val="24"/>
          <w:szCs w:val="24"/>
        </w:rPr>
      </w:pPr>
    </w:p>
    <w:p w14:paraId="1A714E3D" w14:textId="725A7FF4" w:rsidR="00FA1542" w:rsidRPr="00FA1542" w:rsidRDefault="00FA1542" w:rsidP="00FA1542">
      <w:pPr>
        <w:pStyle w:val="Heading1"/>
        <w:pBdr>
          <w:top w:val="single" w:sz="4" w:space="1" w:color="auto"/>
          <w:left w:val="single" w:sz="4" w:space="4" w:color="auto"/>
          <w:bottom w:val="single" w:sz="4" w:space="1" w:color="auto"/>
          <w:right w:val="single" w:sz="4" w:space="4" w:color="auto"/>
        </w:pBdr>
        <w:shd w:val="clear" w:color="auto" w:fill="EDEDED" w:themeFill="accent3" w:themeFillTint="33"/>
        <w:rPr>
          <w:color w:val="auto"/>
        </w:rPr>
      </w:pPr>
      <w:r w:rsidRPr="00FA1542">
        <w:rPr>
          <w:color w:val="auto"/>
        </w:rPr>
        <w:t>General Stats and Talking Points on the NMTC</w:t>
      </w:r>
    </w:p>
    <w:p w14:paraId="531D77F4" w14:textId="1125510E" w:rsidR="005838FA" w:rsidRPr="005838FA" w:rsidRDefault="005838FA" w:rsidP="00FA1542">
      <w:pPr>
        <w:pStyle w:val="Heading2"/>
      </w:pPr>
      <w:r w:rsidRPr="005838FA">
        <w:t>National Stats</w:t>
      </w:r>
      <w:r w:rsidR="00125C5A">
        <w:t xml:space="preserve"> (through Sept. 2020)</w:t>
      </w:r>
      <w:r w:rsidRPr="005838FA">
        <w:t>:</w:t>
      </w:r>
    </w:p>
    <w:p w14:paraId="3264A21B" w14:textId="6C2C7A81" w:rsidR="005838FA" w:rsidRPr="00FA1542" w:rsidRDefault="005838FA" w:rsidP="005838FA">
      <w:pPr>
        <w:pStyle w:val="ListParagraph"/>
        <w:numPr>
          <w:ilvl w:val="0"/>
          <w:numId w:val="6"/>
        </w:numPr>
        <w:rPr>
          <w:rFonts w:cstheme="minorHAnsi"/>
          <w:sz w:val="24"/>
          <w:szCs w:val="24"/>
        </w:rPr>
      </w:pPr>
      <w:r w:rsidRPr="00FA1542">
        <w:rPr>
          <w:rFonts w:cstheme="minorHAnsi"/>
          <w:b/>
          <w:bCs/>
          <w:sz w:val="24"/>
          <w:szCs w:val="24"/>
        </w:rPr>
        <w:t>Driving investment:</w:t>
      </w:r>
      <w:r w:rsidRPr="00FA1542">
        <w:rPr>
          <w:rFonts w:cstheme="minorHAnsi"/>
          <w:sz w:val="24"/>
          <w:szCs w:val="24"/>
        </w:rPr>
        <w:t xml:space="preserve"> Through Sept. 2020, the NMTC allocations - totaling </w:t>
      </w:r>
      <w:r w:rsidR="00125C5A" w:rsidRPr="00FA1542">
        <w:rPr>
          <w:rFonts w:cstheme="minorHAnsi"/>
          <w:sz w:val="24"/>
          <w:szCs w:val="24"/>
        </w:rPr>
        <w:t xml:space="preserve">nearly </w:t>
      </w:r>
      <w:r w:rsidRPr="00FA1542">
        <w:rPr>
          <w:rFonts w:cstheme="minorHAnsi"/>
          <w:sz w:val="24"/>
          <w:szCs w:val="24"/>
        </w:rPr>
        <w:t xml:space="preserve">$60 billion - have delivered </w:t>
      </w:r>
      <w:r w:rsidR="00125C5A" w:rsidRPr="00FA1542">
        <w:rPr>
          <w:rFonts w:cstheme="minorHAnsi"/>
          <w:sz w:val="24"/>
          <w:szCs w:val="24"/>
        </w:rPr>
        <w:t>nearly</w:t>
      </w:r>
      <w:r w:rsidRPr="00FA1542">
        <w:rPr>
          <w:rFonts w:cstheme="minorHAnsi"/>
          <w:sz w:val="24"/>
          <w:szCs w:val="24"/>
        </w:rPr>
        <w:t xml:space="preserve"> $1</w:t>
      </w:r>
      <w:r w:rsidR="00125C5A" w:rsidRPr="00FA1542">
        <w:rPr>
          <w:rFonts w:cstheme="minorHAnsi"/>
          <w:sz w:val="24"/>
          <w:szCs w:val="24"/>
        </w:rPr>
        <w:t>10</w:t>
      </w:r>
      <w:r w:rsidRPr="00FA1542">
        <w:rPr>
          <w:rFonts w:cstheme="minorHAnsi"/>
          <w:sz w:val="24"/>
          <w:szCs w:val="24"/>
        </w:rPr>
        <w:t xml:space="preserve"> billion in total project financing to </w:t>
      </w:r>
      <w:r w:rsidR="00125C5A" w:rsidRPr="00FA1542">
        <w:rPr>
          <w:rFonts w:cstheme="minorHAnsi"/>
          <w:sz w:val="24"/>
          <w:szCs w:val="24"/>
        </w:rPr>
        <w:t>over 7,000</w:t>
      </w:r>
      <w:r w:rsidRPr="00FA1542">
        <w:rPr>
          <w:rFonts w:cstheme="minorHAnsi"/>
          <w:sz w:val="24"/>
          <w:szCs w:val="24"/>
        </w:rPr>
        <w:t xml:space="preserve"> projects. </w:t>
      </w:r>
    </w:p>
    <w:p w14:paraId="59ABA845" w14:textId="0C64749F" w:rsidR="005838FA" w:rsidRPr="00FA1542" w:rsidRDefault="005838FA" w:rsidP="005838FA">
      <w:pPr>
        <w:pStyle w:val="ListParagraph"/>
        <w:numPr>
          <w:ilvl w:val="0"/>
          <w:numId w:val="6"/>
        </w:numPr>
        <w:rPr>
          <w:rFonts w:cstheme="minorHAnsi"/>
          <w:sz w:val="24"/>
          <w:szCs w:val="24"/>
        </w:rPr>
      </w:pPr>
      <w:r w:rsidRPr="00FA1542">
        <w:rPr>
          <w:rFonts w:cstheme="minorHAnsi"/>
          <w:b/>
          <w:bCs/>
          <w:sz w:val="24"/>
          <w:szCs w:val="24"/>
        </w:rPr>
        <w:t>Improving services</w:t>
      </w:r>
      <w:r w:rsidRPr="00FA1542">
        <w:rPr>
          <w:rFonts w:cstheme="minorHAnsi"/>
          <w:sz w:val="24"/>
          <w:szCs w:val="24"/>
        </w:rPr>
        <w:t>: The NMTC has financed over 2,</w:t>
      </w:r>
      <w:r w:rsidR="00125C5A" w:rsidRPr="00FA1542">
        <w:rPr>
          <w:rFonts w:cstheme="minorHAnsi"/>
          <w:sz w:val="24"/>
          <w:szCs w:val="24"/>
        </w:rPr>
        <w:t>5</w:t>
      </w:r>
      <w:r w:rsidRPr="00FA1542">
        <w:rPr>
          <w:rFonts w:cstheme="minorHAnsi"/>
          <w:sz w:val="24"/>
          <w:szCs w:val="24"/>
        </w:rPr>
        <w:t>00 federally qualified health centers, schools, daycare centers, apprenticeship programs, treatment facilities, and other service providers.</w:t>
      </w:r>
    </w:p>
    <w:p w14:paraId="3BAA06E2" w14:textId="26D07AF9" w:rsidR="00125C5A" w:rsidRPr="00FA1542" w:rsidRDefault="00125C5A" w:rsidP="00125C5A">
      <w:pPr>
        <w:pStyle w:val="ListParagraph"/>
        <w:numPr>
          <w:ilvl w:val="1"/>
          <w:numId w:val="6"/>
        </w:numPr>
        <w:rPr>
          <w:rFonts w:cstheme="minorHAnsi"/>
          <w:sz w:val="24"/>
          <w:szCs w:val="24"/>
        </w:rPr>
      </w:pPr>
      <w:r w:rsidRPr="00FA1542">
        <w:rPr>
          <w:rFonts w:cstheme="minorHAnsi"/>
          <w:sz w:val="24"/>
          <w:szCs w:val="24"/>
        </w:rPr>
        <w:t xml:space="preserve">420 projects expanding daycare </w:t>
      </w:r>
      <w:proofErr w:type="gramStart"/>
      <w:r w:rsidRPr="00FA1542">
        <w:rPr>
          <w:rFonts w:cstheme="minorHAnsi"/>
          <w:sz w:val="24"/>
          <w:szCs w:val="24"/>
        </w:rPr>
        <w:t>access</w:t>
      </w:r>
      <w:proofErr w:type="gramEnd"/>
    </w:p>
    <w:p w14:paraId="270A648C" w14:textId="6050268F" w:rsidR="00125C5A" w:rsidRPr="00FA1542" w:rsidRDefault="00125C5A" w:rsidP="00125C5A">
      <w:pPr>
        <w:pStyle w:val="ListParagraph"/>
        <w:numPr>
          <w:ilvl w:val="1"/>
          <w:numId w:val="6"/>
        </w:numPr>
        <w:rPr>
          <w:rFonts w:cstheme="minorHAnsi"/>
          <w:sz w:val="24"/>
          <w:szCs w:val="24"/>
        </w:rPr>
      </w:pPr>
      <w:r w:rsidRPr="00FA1542">
        <w:rPr>
          <w:rFonts w:cstheme="minorHAnsi"/>
          <w:sz w:val="24"/>
          <w:szCs w:val="24"/>
        </w:rPr>
        <w:t>400 federally qualified health centers</w:t>
      </w:r>
    </w:p>
    <w:p w14:paraId="6A65AC81" w14:textId="2E3E2613" w:rsidR="00125C5A" w:rsidRPr="00FA1542" w:rsidRDefault="00125C5A" w:rsidP="00125C5A">
      <w:pPr>
        <w:pStyle w:val="ListParagraph"/>
        <w:numPr>
          <w:ilvl w:val="1"/>
          <w:numId w:val="6"/>
        </w:numPr>
        <w:rPr>
          <w:rFonts w:cstheme="minorHAnsi"/>
          <w:sz w:val="24"/>
          <w:szCs w:val="24"/>
        </w:rPr>
      </w:pPr>
      <w:r w:rsidRPr="00FA1542">
        <w:rPr>
          <w:rFonts w:cstheme="minorHAnsi"/>
          <w:sz w:val="24"/>
          <w:szCs w:val="24"/>
        </w:rPr>
        <w:t>202 homeless shelters and food banks</w:t>
      </w:r>
    </w:p>
    <w:p w14:paraId="214776DA" w14:textId="08DEAB3A" w:rsidR="00125C5A" w:rsidRPr="00FA1542" w:rsidRDefault="00125C5A" w:rsidP="00125C5A">
      <w:pPr>
        <w:pStyle w:val="ListParagraph"/>
        <w:numPr>
          <w:ilvl w:val="1"/>
          <w:numId w:val="6"/>
        </w:numPr>
        <w:rPr>
          <w:rFonts w:cstheme="minorHAnsi"/>
          <w:sz w:val="24"/>
          <w:szCs w:val="24"/>
        </w:rPr>
      </w:pPr>
      <w:r w:rsidRPr="00FA1542">
        <w:rPr>
          <w:rFonts w:cstheme="minorHAnsi"/>
          <w:sz w:val="24"/>
          <w:szCs w:val="24"/>
        </w:rPr>
        <w:t>79 YMCA and YWCAs</w:t>
      </w:r>
    </w:p>
    <w:p w14:paraId="615B94A1" w14:textId="3721CD5F" w:rsidR="00125C5A" w:rsidRPr="00FA1542" w:rsidRDefault="00125C5A" w:rsidP="00125C5A">
      <w:pPr>
        <w:pStyle w:val="ListParagraph"/>
        <w:numPr>
          <w:ilvl w:val="1"/>
          <w:numId w:val="6"/>
        </w:numPr>
        <w:rPr>
          <w:rFonts w:cstheme="minorHAnsi"/>
          <w:sz w:val="24"/>
          <w:szCs w:val="24"/>
        </w:rPr>
      </w:pPr>
      <w:r w:rsidRPr="00FA1542">
        <w:rPr>
          <w:rFonts w:cstheme="minorHAnsi"/>
          <w:sz w:val="24"/>
          <w:szCs w:val="24"/>
        </w:rPr>
        <w:t>60 Boys and Girls Clubs</w:t>
      </w:r>
    </w:p>
    <w:p w14:paraId="29633D54" w14:textId="715109EC" w:rsidR="005838FA" w:rsidRPr="00FA1542" w:rsidRDefault="005838FA" w:rsidP="005838FA">
      <w:pPr>
        <w:pStyle w:val="ListParagraph"/>
        <w:numPr>
          <w:ilvl w:val="0"/>
          <w:numId w:val="6"/>
        </w:numPr>
        <w:rPr>
          <w:rFonts w:cstheme="minorHAnsi"/>
          <w:sz w:val="24"/>
          <w:szCs w:val="24"/>
        </w:rPr>
      </w:pPr>
      <w:r w:rsidRPr="00FA1542">
        <w:rPr>
          <w:rFonts w:cstheme="minorHAnsi"/>
          <w:b/>
          <w:bCs/>
          <w:sz w:val="24"/>
          <w:szCs w:val="24"/>
        </w:rPr>
        <w:t>Jump-starting manufacturing:</w:t>
      </w:r>
      <w:r w:rsidRPr="00FA1542">
        <w:rPr>
          <w:rFonts w:cstheme="minorHAnsi"/>
          <w:sz w:val="24"/>
          <w:szCs w:val="24"/>
        </w:rPr>
        <w:t xml:space="preserve">  Over 1,500 manufacturing and industrial businesses financed to date.</w:t>
      </w:r>
    </w:p>
    <w:p w14:paraId="4CF690E1" w14:textId="6623ACCB" w:rsidR="00125C5A" w:rsidRPr="00FA1542" w:rsidRDefault="00125C5A" w:rsidP="005838FA">
      <w:pPr>
        <w:pStyle w:val="ListParagraph"/>
        <w:numPr>
          <w:ilvl w:val="0"/>
          <w:numId w:val="6"/>
        </w:numPr>
        <w:rPr>
          <w:rFonts w:cstheme="minorHAnsi"/>
          <w:sz w:val="24"/>
          <w:szCs w:val="24"/>
        </w:rPr>
      </w:pPr>
      <w:r w:rsidRPr="00FA1542">
        <w:rPr>
          <w:rFonts w:cstheme="minorHAnsi"/>
          <w:b/>
          <w:bCs/>
          <w:sz w:val="24"/>
          <w:szCs w:val="24"/>
        </w:rPr>
        <w:t>Supporting entrepreneurs and small businesses:</w:t>
      </w:r>
      <w:r w:rsidRPr="00FA1542">
        <w:rPr>
          <w:rFonts w:cstheme="minorHAnsi"/>
          <w:sz w:val="24"/>
          <w:szCs w:val="24"/>
        </w:rPr>
        <w:t xml:space="preserve"> 143 business incubators totaling $4.3 billion</w:t>
      </w:r>
    </w:p>
    <w:p w14:paraId="591AFFA4" w14:textId="35BB9529" w:rsidR="00125C5A" w:rsidRPr="00FA1542" w:rsidRDefault="00125C5A" w:rsidP="00FF35A6">
      <w:pPr>
        <w:pStyle w:val="ListParagraph"/>
        <w:numPr>
          <w:ilvl w:val="1"/>
          <w:numId w:val="6"/>
        </w:numPr>
        <w:rPr>
          <w:rFonts w:cstheme="minorHAnsi"/>
          <w:sz w:val="24"/>
          <w:szCs w:val="24"/>
        </w:rPr>
      </w:pPr>
      <w:r w:rsidRPr="00FA1542">
        <w:rPr>
          <w:rFonts w:cstheme="minorHAnsi"/>
          <w:sz w:val="24"/>
          <w:szCs w:val="24"/>
        </w:rPr>
        <w:t>1,160 NMTC projects</w:t>
      </w:r>
      <w:r w:rsidR="00FF35A6" w:rsidRPr="00FA1542">
        <w:rPr>
          <w:rFonts w:cstheme="minorHAnsi"/>
          <w:sz w:val="24"/>
          <w:szCs w:val="24"/>
        </w:rPr>
        <w:t xml:space="preserve"> (15 percent)</w:t>
      </w:r>
      <w:r w:rsidRPr="00FA1542">
        <w:rPr>
          <w:rFonts w:cstheme="minorHAnsi"/>
          <w:sz w:val="24"/>
          <w:szCs w:val="24"/>
        </w:rPr>
        <w:t xml:space="preserve"> involve loans and investments of $</w:t>
      </w:r>
      <w:r w:rsidR="00FF35A6" w:rsidRPr="00FA1542">
        <w:rPr>
          <w:rFonts w:cstheme="minorHAnsi"/>
          <w:sz w:val="24"/>
          <w:szCs w:val="24"/>
        </w:rPr>
        <w:t>500,000</w:t>
      </w:r>
      <w:r w:rsidRPr="00FA1542">
        <w:rPr>
          <w:rFonts w:cstheme="minorHAnsi"/>
          <w:sz w:val="24"/>
          <w:szCs w:val="24"/>
        </w:rPr>
        <w:t xml:space="preserve"> or </w:t>
      </w:r>
      <w:proofErr w:type="gramStart"/>
      <w:r w:rsidRPr="00FA1542">
        <w:rPr>
          <w:rFonts w:cstheme="minorHAnsi"/>
          <w:sz w:val="24"/>
          <w:szCs w:val="24"/>
        </w:rPr>
        <w:t>less</w:t>
      </w:r>
      <w:proofErr w:type="gramEnd"/>
    </w:p>
    <w:p w14:paraId="5F348652" w14:textId="64482DAE" w:rsidR="005838FA" w:rsidRPr="00FA1542" w:rsidRDefault="005838FA" w:rsidP="005838FA">
      <w:pPr>
        <w:pStyle w:val="ListParagraph"/>
        <w:numPr>
          <w:ilvl w:val="0"/>
          <w:numId w:val="6"/>
        </w:numPr>
        <w:rPr>
          <w:rFonts w:cstheme="minorHAnsi"/>
          <w:sz w:val="24"/>
          <w:szCs w:val="24"/>
        </w:rPr>
      </w:pPr>
      <w:r w:rsidRPr="00FA1542">
        <w:rPr>
          <w:rFonts w:cstheme="minorHAnsi"/>
          <w:b/>
          <w:bCs/>
          <w:sz w:val="24"/>
          <w:szCs w:val="24"/>
        </w:rPr>
        <w:t xml:space="preserve">Job creation: </w:t>
      </w:r>
      <w:r w:rsidR="009A7F91" w:rsidRPr="00FA1542">
        <w:rPr>
          <w:rFonts w:cstheme="minorHAnsi"/>
          <w:b/>
          <w:bCs/>
          <w:sz w:val="24"/>
          <w:szCs w:val="24"/>
        </w:rPr>
        <w:t>Directly created o</w:t>
      </w:r>
      <w:r w:rsidRPr="00FA1542">
        <w:rPr>
          <w:rFonts w:cstheme="minorHAnsi"/>
          <w:sz w:val="24"/>
          <w:szCs w:val="24"/>
        </w:rPr>
        <w:t>ver 1,000,000 jobs</w:t>
      </w:r>
      <w:r w:rsidR="009A7F91" w:rsidRPr="00FA1542">
        <w:rPr>
          <w:rFonts w:cstheme="minorHAnsi"/>
          <w:sz w:val="24"/>
          <w:szCs w:val="24"/>
        </w:rPr>
        <w:t>.</w:t>
      </w:r>
    </w:p>
    <w:p w14:paraId="6259D281" w14:textId="65E2DA85" w:rsidR="005838FA" w:rsidRPr="00FA1542" w:rsidRDefault="005838FA" w:rsidP="005838FA">
      <w:pPr>
        <w:pStyle w:val="ListParagraph"/>
        <w:numPr>
          <w:ilvl w:val="0"/>
          <w:numId w:val="6"/>
        </w:numPr>
        <w:rPr>
          <w:rFonts w:cstheme="minorHAnsi"/>
          <w:sz w:val="24"/>
          <w:szCs w:val="24"/>
        </w:rPr>
      </w:pPr>
      <w:r w:rsidRPr="00FA1542">
        <w:rPr>
          <w:rFonts w:cstheme="minorHAnsi"/>
          <w:b/>
          <w:bCs/>
          <w:sz w:val="24"/>
          <w:szCs w:val="24"/>
        </w:rPr>
        <w:t>Targeting concentrated poverty:</w:t>
      </w:r>
      <w:r w:rsidRPr="00FA1542">
        <w:rPr>
          <w:rFonts w:cstheme="minorHAnsi"/>
          <w:sz w:val="24"/>
          <w:szCs w:val="24"/>
        </w:rPr>
        <w:t xml:space="preserve"> In 2019, 80 percent proj</w:t>
      </w:r>
      <w:r w:rsidR="009A7F91" w:rsidRPr="00FA1542">
        <w:rPr>
          <w:rFonts w:cstheme="minorHAnsi"/>
          <w:sz w:val="24"/>
          <w:szCs w:val="24"/>
        </w:rPr>
        <w:t>ects were in</w:t>
      </w:r>
      <w:r w:rsidRPr="00FA1542">
        <w:rPr>
          <w:rFonts w:cstheme="minorHAnsi"/>
          <w:sz w:val="24"/>
          <w:szCs w:val="24"/>
        </w:rPr>
        <w:t xml:space="preserve"> </w:t>
      </w:r>
      <w:r w:rsidR="009A7F91" w:rsidRPr="00FA1542">
        <w:rPr>
          <w:rFonts w:cstheme="minorHAnsi"/>
          <w:sz w:val="24"/>
          <w:szCs w:val="24"/>
        </w:rPr>
        <w:t>severely distressed areas.</w:t>
      </w:r>
    </w:p>
    <w:p w14:paraId="772B1F25" w14:textId="155F0306" w:rsidR="005838FA" w:rsidRPr="00FA1542" w:rsidRDefault="005838FA" w:rsidP="005838FA">
      <w:pPr>
        <w:pStyle w:val="ListParagraph"/>
        <w:numPr>
          <w:ilvl w:val="0"/>
          <w:numId w:val="6"/>
        </w:numPr>
        <w:tabs>
          <w:tab w:val="left" w:pos="180"/>
          <w:tab w:val="left" w:pos="270"/>
          <w:tab w:val="left" w:pos="720"/>
        </w:tabs>
        <w:rPr>
          <w:rFonts w:cstheme="minorHAnsi"/>
          <w:color w:val="000000"/>
          <w:sz w:val="24"/>
          <w:szCs w:val="24"/>
        </w:rPr>
      </w:pPr>
      <w:r w:rsidRPr="00FA1542">
        <w:rPr>
          <w:rFonts w:cstheme="minorHAnsi"/>
          <w:b/>
          <w:color w:val="000000"/>
          <w:sz w:val="24"/>
          <w:szCs w:val="24"/>
        </w:rPr>
        <w:t>Supporting rural America:</w:t>
      </w:r>
      <w:r w:rsidRPr="00FA1542">
        <w:rPr>
          <w:rFonts w:cstheme="minorHAnsi"/>
          <w:color w:val="000000"/>
          <w:sz w:val="24"/>
          <w:szCs w:val="24"/>
        </w:rPr>
        <w:t xml:space="preserve"> In 2019, over 23 percent of NMTC projects were in rural areas.</w:t>
      </w:r>
    </w:p>
    <w:p w14:paraId="7903B8E5" w14:textId="20DC4D47" w:rsidR="00FA1542" w:rsidRPr="00FA1542" w:rsidRDefault="00FA1542" w:rsidP="00FA1542">
      <w:pPr>
        <w:pStyle w:val="Heading2"/>
      </w:pPr>
      <w:r>
        <w:t xml:space="preserve">Additional </w:t>
      </w:r>
      <w:r w:rsidRPr="00FA1542">
        <w:t>General Talking Points</w:t>
      </w:r>
    </w:p>
    <w:p w14:paraId="658B1540" w14:textId="3DF9FBA1" w:rsidR="00FA1542" w:rsidRPr="00FA1542" w:rsidRDefault="00FA1542" w:rsidP="00FA1542">
      <w:pPr>
        <w:numPr>
          <w:ilvl w:val="0"/>
          <w:numId w:val="18"/>
        </w:numPr>
        <w:spacing w:after="0" w:line="240" w:lineRule="auto"/>
        <w:textAlignment w:val="baseline"/>
        <w:rPr>
          <w:rFonts w:eastAsia="Times New Roman" w:cstheme="minorHAnsi"/>
          <w:color w:val="333333"/>
          <w:sz w:val="24"/>
          <w:szCs w:val="24"/>
        </w:rPr>
      </w:pPr>
      <w:r w:rsidRPr="00FA1542">
        <w:rPr>
          <w:rFonts w:eastAsia="Times New Roman" w:cstheme="minorHAnsi"/>
          <w:color w:val="333333"/>
          <w:sz w:val="24"/>
          <w:szCs w:val="24"/>
        </w:rPr>
        <w:t xml:space="preserve">The NMTC increases the flow of capital to businesses and low-income communities by providing a modest tax incentive to private investors. The NMTC has proven to be an effective, </w:t>
      </w:r>
      <w:proofErr w:type="gramStart"/>
      <w:r w:rsidRPr="00FA1542">
        <w:rPr>
          <w:rFonts w:eastAsia="Times New Roman" w:cstheme="minorHAnsi"/>
          <w:color w:val="333333"/>
          <w:sz w:val="24"/>
          <w:szCs w:val="24"/>
        </w:rPr>
        <w:t>targeted</w:t>
      </w:r>
      <w:proofErr w:type="gramEnd"/>
      <w:r w:rsidRPr="00FA1542">
        <w:rPr>
          <w:rFonts w:eastAsia="Times New Roman" w:cstheme="minorHAnsi"/>
          <w:color w:val="333333"/>
          <w:sz w:val="24"/>
          <w:szCs w:val="24"/>
        </w:rPr>
        <w:t xml:space="preserve"> and cost-efficient financing tool valued by businesses, communities.</w:t>
      </w:r>
    </w:p>
    <w:p w14:paraId="23BB1EC1" w14:textId="77777777" w:rsidR="00FA1542" w:rsidRPr="00FA1542" w:rsidRDefault="00FA1542" w:rsidP="00FA1542">
      <w:pPr>
        <w:numPr>
          <w:ilvl w:val="0"/>
          <w:numId w:val="18"/>
        </w:numPr>
        <w:spacing w:after="0" w:line="240" w:lineRule="auto"/>
        <w:textAlignment w:val="baseline"/>
        <w:rPr>
          <w:rFonts w:eastAsia="Times New Roman" w:cstheme="minorHAnsi"/>
          <w:color w:val="333333"/>
          <w:sz w:val="24"/>
          <w:szCs w:val="24"/>
        </w:rPr>
      </w:pPr>
      <w:r w:rsidRPr="00FA1542">
        <w:rPr>
          <w:rFonts w:eastAsia="Times New Roman" w:cstheme="minorHAnsi"/>
          <w:color w:val="333333"/>
          <w:sz w:val="24"/>
          <w:szCs w:val="24"/>
        </w:rPr>
        <w:lastRenderedPageBreak/>
        <w:t>From business expansions to new healthcare and childcare facilities, the NMTC program was designed as a flexible incentive for economic development that meets evolving community needs</w:t>
      </w:r>
      <w:r w:rsidRPr="00FA1542">
        <w:rPr>
          <w:rFonts w:eastAsia="Times New Roman" w:cstheme="minorHAnsi"/>
          <w:b/>
          <w:bCs/>
          <w:color w:val="333333"/>
          <w:sz w:val="24"/>
          <w:szCs w:val="24"/>
        </w:rPr>
        <w:t>. Instead of Washington picking winners and losers, the New Markets Tax Credit empowers local decision-making on important economic development projects.</w:t>
      </w:r>
      <w:r w:rsidRPr="00FA1542">
        <w:rPr>
          <w:rFonts w:eastAsia="Times New Roman" w:cstheme="minorHAnsi"/>
          <w:color w:val="333333"/>
          <w:sz w:val="24"/>
          <w:szCs w:val="24"/>
        </w:rPr>
        <w:t> The nonprofit and industry sectors receiving NMTC financing are diverse, reflecting a cross-section of the American economy.</w:t>
      </w:r>
    </w:p>
    <w:p w14:paraId="5C97982B" w14:textId="77777777" w:rsidR="00FA1542" w:rsidRPr="00FA1542" w:rsidRDefault="00FA1542" w:rsidP="00FA1542">
      <w:pPr>
        <w:numPr>
          <w:ilvl w:val="0"/>
          <w:numId w:val="18"/>
        </w:numPr>
        <w:spacing w:after="0" w:line="240" w:lineRule="auto"/>
        <w:textAlignment w:val="baseline"/>
        <w:rPr>
          <w:rFonts w:eastAsia="Times New Roman" w:cstheme="minorHAnsi"/>
          <w:color w:val="333333"/>
          <w:sz w:val="24"/>
          <w:szCs w:val="24"/>
        </w:rPr>
      </w:pPr>
      <w:r w:rsidRPr="00FA1542">
        <w:rPr>
          <w:rFonts w:eastAsia="Times New Roman" w:cstheme="minorHAnsi"/>
          <w:color w:val="333333"/>
          <w:sz w:val="24"/>
          <w:szCs w:val="24"/>
        </w:rPr>
        <w:t>A 2017 evaluation and compliance study of the NMTC by the Summit Foundation found that program award winners are lowering the cost of capital in low-income communities, targeting areas of deep economic distress, and far exceeding the program requirements.</w:t>
      </w:r>
    </w:p>
    <w:p w14:paraId="6409AC0B" w14:textId="4D46E5D8" w:rsidR="00FA1542" w:rsidRPr="00FA1542" w:rsidRDefault="00FA1542" w:rsidP="00FA1542">
      <w:pPr>
        <w:numPr>
          <w:ilvl w:val="0"/>
          <w:numId w:val="18"/>
        </w:numPr>
        <w:spacing w:after="0" w:line="240" w:lineRule="auto"/>
        <w:textAlignment w:val="baseline"/>
        <w:rPr>
          <w:rFonts w:eastAsia="Times New Roman" w:cstheme="minorHAnsi"/>
          <w:color w:val="333333"/>
          <w:sz w:val="24"/>
          <w:szCs w:val="24"/>
        </w:rPr>
      </w:pPr>
      <w:r w:rsidRPr="00FA1542">
        <w:rPr>
          <w:rFonts w:eastAsia="Times New Roman" w:cstheme="minorHAnsi"/>
          <w:b/>
          <w:bCs/>
          <w:color w:val="333333"/>
          <w:sz w:val="24"/>
          <w:szCs w:val="24"/>
        </w:rPr>
        <w:t>While the economy is improving, the cost of capital remains high in severely distressed communities. </w:t>
      </w:r>
      <w:r w:rsidRPr="00FA1542">
        <w:rPr>
          <w:rFonts w:eastAsia="Times New Roman" w:cstheme="minorHAnsi"/>
          <w:color w:val="333333"/>
          <w:sz w:val="24"/>
          <w:szCs w:val="24"/>
        </w:rPr>
        <w:t>The NMTC is a bipartisan solution for economic development in communities hit hardest by economic downturns and the dwindling job opportunities. We should invest in federal programs that work, and the NMTC fits that bill.</w:t>
      </w:r>
    </w:p>
    <w:sectPr w:rsidR="00FA1542" w:rsidRPr="00FA1542" w:rsidSect="00FA1542">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B7EC9" w14:textId="77777777" w:rsidR="000F060D" w:rsidRDefault="000F060D" w:rsidP="005838FA">
      <w:pPr>
        <w:spacing w:after="0" w:line="240" w:lineRule="auto"/>
      </w:pPr>
      <w:r>
        <w:separator/>
      </w:r>
    </w:p>
  </w:endnote>
  <w:endnote w:type="continuationSeparator" w:id="0">
    <w:p w14:paraId="3D22DF2B" w14:textId="77777777" w:rsidR="000F060D" w:rsidRDefault="000F060D" w:rsidP="00583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72FAF" w14:textId="77777777" w:rsidR="000F060D" w:rsidRDefault="000F060D" w:rsidP="005838FA">
      <w:pPr>
        <w:spacing w:after="0" w:line="240" w:lineRule="auto"/>
      </w:pPr>
      <w:r>
        <w:separator/>
      </w:r>
    </w:p>
  </w:footnote>
  <w:footnote w:type="continuationSeparator" w:id="0">
    <w:p w14:paraId="765EF75F" w14:textId="77777777" w:rsidR="000F060D" w:rsidRDefault="000F060D" w:rsidP="00583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7D36" w14:textId="1EFB5F7C" w:rsidR="00FA1542" w:rsidRDefault="00FA1542" w:rsidP="00FA154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0BBB" w14:textId="2C8ACF45" w:rsidR="00FA1542" w:rsidRDefault="00FA1542" w:rsidP="00FA1542">
    <w:pPr>
      <w:pStyle w:val="Header"/>
      <w:jc w:val="center"/>
    </w:pPr>
    <w:r>
      <w:rPr>
        <w:noProof/>
      </w:rPr>
      <w:drawing>
        <wp:inline distT="0" distB="0" distL="0" distR="0" wp14:anchorId="643E5EE2" wp14:editId="47CAF59E">
          <wp:extent cx="2960163" cy="8239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06129" cy="8367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F73"/>
    <w:multiLevelType w:val="hybridMultilevel"/>
    <w:tmpl w:val="495836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F950A3"/>
    <w:multiLevelType w:val="hybridMultilevel"/>
    <w:tmpl w:val="5E70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E3371"/>
    <w:multiLevelType w:val="hybridMultilevel"/>
    <w:tmpl w:val="B7B67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6347F"/>
    <w:multiLevelType w:val="hybridMultilevel"/>
    <w:tmpl w:val="2B6EA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206811"/>
    <w:multiLevelType w:val="multilevel"/>
    <w:tmpl w:val="5E24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500F7C"/>
    <w:multiLevelType w:val="hybridMultilevel"/>
    <w:tmpl w:val="E892B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776ED"/>
    <w:multiLevelType w:val="hybridMultilevel"/>
    <w:tmpl w:val="6DF01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B55A22"/>
    <w:multiLevelType w:val="hybridMultilevel"/>
    <w:tmpl w:val="359E7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C2BB8"/>
    <w:multiLevelType w:val="hybridMultilevel"/>
    <w:tmpl w:val="374A9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4E0941"/>
    <w:multiLevelType w:val="multilevel"/>
    <w:tmpl w:val="63D8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F8670A"/>
    <w:multiLevelType w:val="hybridMultilevel"/>
    <w:tmpl w:val="B524A3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E2B32"/>
    <w:multiLevelType w:val="hybridMultilevel"/>
    <w:tmpl w:val="08AC1FBE"/>
    <w:lvl w:ilvl="0" w:tplc="0409000F">
      <w:start w:val="1"/>
      <w:numFmt w:val="decimal"/>
      <w:lvlText w:val="%1."/>
      <w:lvlJc w:val="left"/>
      <w:pPr>
        <w:ind w:left="720" w:hanging="360"/>
      </w:pPr>
      <w:rPr>
        <w:rFonts w:hint="default"/>
        <w:b/>
        <w:i w:val="0"/>
        <w:iCs w:val="0"/>
        <w:u w:val="none"/>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B0D05"/>
    <w:multiLevelType w:val="hybridMultilevel"/>
    <w:tmpl w:val="773A8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05335A"/>
    <w:multiLevelType w:val="hybridMultilevel"/>
    <w:tmpl w:val="A93CF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C21352"/>
    <w:multiLevelType w:val="hybridMultilevel"/>
    <w:tmpl w:val="BBA65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3251D1"/>
    <w:multiLevelType w:val="hybridMultilevel"/>
    <w:tmpl w:val="1A00C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6C5723"/>
    <w:multiLevelType w:val="hybridMultilevel"/>
    <w:tmpl w:val="360A6E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C20641"/>
    <w:multiLevelType w:val="hybridMultilevel"/>
    <w:tmpl w:val="EDBC0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6"/>
  </w:num>
  <w:num w:numId="3">
    <w:abstractNumId w:val="10"/>
  </w:num>
  <w:num w:numId="4">
    <w:abstractNumId w:val="8"/>
  </w:num>
  <w:num w:numId="5">
    <w:abstractNumId w:val="11"/>
  </w:num>
  <w:num w:numId="6">
    <w:abstractNumId w:val="14"/>
  </w:num>
  <w:num w:numId="7">
    <w:abstractNumId w:val="3"/>
  </w:num>
  <w:num w:numId="8">
    <w:abstractNumId w:val="15"/>
  </w:num>
  <w:num w:numId="9">
    <w:abstractNumId w:val="9"/>
  </w:num>
  <w:num w:numId="10">
    <w:abstractNumId w:val="0"/>
  </w:num>
  <w:num w:numId="11">
    <w:abstractNumId w:val="7"/>
  </w:num>
  <w:num w:numId="12">
    <w:abstractNumId w:val="13"/>
  </w:num>
  <w:num w:numId="13">
    <w:abstractNumId w:val="1"/>
  </w:num>
  <w:num w:numId="14">
    <w:abstractNumId w:val="12"/>
  </w:num>
  <w:num w:numId="15">
    <w:abstractNumId w:val="5"/>
  </w:num>
  <w:num w:numId="16">
    <w:abstractNumId w:val="2"/>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xMDE3NTE0MTQwsbBQ0lEKTi0uzszPAykwqQUAD1KXQCwAAAA="/>
  </w:docVars>
  <w:rsids>
    <w:rsidRoot w:val="0047610E"/>
    <w:rsid w:val="00065DEE"/>
    <w:rsid w:val="00072B0A"/>
    <w:rsid w:val="000F060D"/>
    <w:rsid w:val="00125C5A"/>
    <w:rsid w:val="00202D98"/>
    <w:rsid w:val="00307E3D"/>
    <w:rsid w:val="004127EF"/>
    <w:rsid w:val="004542E2"/>
    <w:rsid w:val="0047610E"/>
    <w:rsid w:val="005838FA"/>
    <w:rsid w:val="00597F8E"/>
    <w:rsid w:val="007611E4"/>
    <w:rsid w:val="00872D96"/>
    <w:rsid w:val="009A64A8"/>
    <w:rsid w:val="009A7F91"/>
    <w:rsid w:val="00A41389"/>
    <w:rsid w:val="00B8645B"/>
    <w:rsid w:val="00BA2F5F"/>
    <w:rsid w:val="00D31E2F"/>
    <w:rsid w:val="00E36433"/>
    <w:rsid w:val="00E85ECC"/>
    <w:rsid w:val="00EA3138"/>
    <w:rsid w:val="00ED231B"/>
    <w:rsid w:val="00ED324D"/>
    <w:rsid w:val="00FA1542"/>
    <w:rsid w:val="00FF3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609FB"/>
  <w15:chartTrackingRefBased/>
  <w15:docId w15:val="{3C45B88D-2021-429C-BADA-3D5ECCB2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38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5D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8FA"/>
    <w:pPr>
      <w:ind w:left="720"/>
      <w:contextualSpacing/>
    </w:pPr>
  </w:style>
  <w:style w:type="character" w:styleId="FootnoteReference">
    <w:name w:val="footnote reference"/>
    <w:uiPriority w:val="99"/>
    <w:qFormat/>
    <w:rsid w:val="005838FA"/>
    <w:rPr>
      <w:vertAlign w:val="superscript"/>
    </w:rPr>
  </w:style>
  <w:style w:type="paragraph" w:styleId="FootnoteText">
    <w:name w:val="footnote text"/>
    <w:basedOn w:val="Normal"/>
    <w:link w:val="FootnoteTextChar"/>
    <w:uiPriority w:val="99"/>
    <w:rsid w:val="005838FA"/>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5838FA"/>
    <w:rPr>
      <w:rFonts w:ascii="Calibri" w:eastAsia="Times New Roman" w:hAnsi="Calibri" w:cs="Times New Roman"/>
      <w:sz w:val="20"/>
      <w:szCs w:val="20"/>
    </w:rPr>
  </w:style>
  <w:style w:type="table" w:styleId="TableGrid">
    <w:name w:val="Table Grid"/>
    <w:basedOn w:val="TableNormal"/>
    <w:rsid w:val="005838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838FA"/>
    <w:rPr>
      <w:rFonts w:asciiTheme="majorHAnsi" w:eastAsiaTheme="majorEastAsia" w:hAnsiTheme="majorHAnsi" w:cstheme="majorBidi"/>
      <w:color w:val="2F5496" w:themeColor="accent1" w:themeShade="BF"/>
      <w:sz w:val="32"/>
      <w:szCs w:val="32"/>
    </w:rPr>
  </w:style>
  <w:style w:type="paragraph" w:customStyle="1" w:styleId="elementor-icon-list-item">
    <w:name w:val="elementor-icon-list-item"/>
    <w:basedOn w:val="Normal"/>
    <w:rsid w:val="00307E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or-icon-list-text">
    <w:name w:val="elementor-icon-list-text"/>
    <w:basedOn w:val="DefaultParagraphFont"/>
    <w:rsid w:val="00307E3D"/>
  </w:style>
  <w:style w:type="character" w:styleId="Hyperlink">
    <w:name w:val="Hyperlink"/>
    <w:basedOn w:val="DefaultParagraphFont"/>
    <w:uiPriority w:val="99"/>
    <w:unhideWhenUsed/>
    <w:rsid w:val="00065DEE"/>
    <w:rPr>
      <w:color w:val="0563C1" w:themeColor="hyperlink"/>
      <w:u w:val="single"/>
    </w:rPr>
  </w:style>
  <w:style w:type="character" w:styleId="UnresolvedMention">
    <w:name w:val="Unresolved Mention"/>
    <w:basedOn w:val="DefaultParagraphFont"/>
    <w:uiPriority w:val="99"/>
    <w:semiHidden/>
    <w:unhideWhenUsed/>
    <w:rsid w:val="00065DEE"/>
    <w:rPr>
      <w:color w:val="605E5C"/>
      <w:shd w:val="clear" w:color="auto" w:fill="E1DFDD"/>
    </w:rPr>
  </w:style>
  <w:style w:type="character" w:customStyle="1" w:styleId="Heading2Char">
    <w:name w:val="Heading 2 Char"/>
    <w:basedOn w:val="DefaultParagraphFont"/>
    <w:link w:val="Heading2"/>
    <w:uiPriority w:val="9"/>
    <w:rsid w:val="00065DE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072B0A"/>
    <w:pPr>
      <w:spacing w:after="0" w:line="240" w:lineRule="auto"/>
    </w:pPr>
  </w:style>
  <w:style w:type="character" w:styleId="Strong">
    <w:name w:val="Strong"/>
    <w:basedOn w:val="DefaultParagraphFont"/>
    <w:uiPriority w:val="22"/>
    <w:qFormat/>
    <w:rsid w:val="00FA1542"/>
    <w:rPr>
      <w:b/>
      <w:bCs/>
    </w:rPr>
  </w:style>
  <w:style w:type="paragraph" w:styleId="Header">
    <w:name w:val="header"/>
    <w:basedOn w:val="Normal"/>
    <w:link w:val="HeaderChar"/>
    <w:uiPriority w:val="99"/>
    <w:unhideWhenUsed/>
    <w:rsid w:val="00FA1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542"/>
  </w:style>
  <w:style w:type="paragraph" w:styleId="Footer">
    <w:name w:val="footer"/>
    <w:basedOn w:val="Normal"/>
    <w:link w:val="FooterChar"/>
    <w:uiPriority w:val="99"/>
    <w:unhideWhenUsed/>
    <w:rsid w:val="00FA1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9605">
      <w:bodyDiv w:val="1"/>
      <w:marLeft w:val="0"/>
      <w:marRight w:val="0"/>
      <w:marTop w:val="0"/>
      <w:marBottom w:val="0"/>
      <w:divBdr>
        <w:top w:val="none" w:sz="0" w:space="0" w:color="auto"/>
        <w:left w:val="none" w:sz="0" w:space="0" w:color="auto"/>
        <w:bottom w:val="none" w:sz="0" w:space="0" w:color="auto"/>
        <w:right w:val="none" w:sz="0" w:space="0" w:color="auto"/>
      </w:divBdr>
    </w:div>
    <w:div w:id="172455364">
      <w:bodyDiv w:val="1"/>
      <w:marLeft w:val="0"/>
      <w:marRight w:val="0"/>
      <w:marTop w:val="0"/>
      <w:marBottom w:val="0"/>
      <w:divBdr>
        <w:top w:val="none" w:sz="0" w:space="0" w:color="auto"/>
        <w:left w:val="none" w:sz="0" w:space="0" w:color="auto"/>
        <w:bottom w:val="none" w:sz="0" w:space="0" w:color="auto"/>
        <w:right w:val="none" w:sz="0" w:space="0" w:color="auto"/>
      </w:divBdr>
    </w:div>
    <w:div w:id="85958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tccoalition.org/extension-bil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mtccoalition.org/wp-content/uploads/M-CDE-Proposal-4-1-2021.docx" TargetMode="External"/><Relationship Id="rId4" Type="http://schemas.openxmlformats.org/officeDocument/2006/relationships/settings" Target="settings.xml"/><Relationship Id="rId9" Type="http://schemas.openxmlformats.org/officeDocument/2006/relationships/hyperlink" Target="https://nmtccoalition.org/sign-on-letter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49B39-3EAE-4669-9E56-855B806AB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Anderson</dc:creator>
  <cp:keywords/>
  <dc:description/>
  <cp:lastModifiedBy>Paul Anderson</cp:lastModifiedBy>
  <cp:revision>8</cp:revision>
  <dcterms:created xsi:type="dcterms:W3CDTF">2021-04-30T16:10:00Z</dcterms:created>
  <dcterms:modified xsi:type="dcterms:W3CDTF">2021-05-04T14:24:00Z</dcterms:modified>
</cp:coreProperties>
</file>