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1913" w14:textId="4DAD317C" w:rsidR="00072B0A" w:rsidRPr="00E43BBC" w:rsidRDefault="00E43BBC" w:rsidP="00072B0A">
      <w:pPr>
        <w:jc w:val="center"/>
        <w:rPr>
          <w:rFonts w:cstheme="minorHAnsi"/>
          <w:sz w:val="36"/>
          <w:szCs w:val="36"/>
        </w:rPr>
      </w:pPr>
      <w:r w:rsidRPr="00E43BBC">
        <w:rPr>
          <w:rFonts w:cstheme="minorHAnsi"/>
          <w:sz w:val="36"/>
          <w:szCs w:val="36"/>
        </w:rPr>
        <w:t xml:space="preserve">NMTC Coalition </w:t>
      </w:r>
      <w:r w:rsidR="0013522E">
        <w:rPr>
          <w:rFonts w:cstheme="minorHAnsi"/>
          <w:sz w:val="36"/>
          <w:szCs w:val="36"/>
        </w:rPr>
        <w:t>Advocacy Legislative Asks and Talking Points</w:t>
      </w:r>
    </w:p>
    <w:p w14:paraId="2B716988" w14:textId="7ED67A2A"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highlight w:val="yellow"/>
        </w:rPr>
      </w:pPr>
      <w:r w:rsidRPr="00072B0A">
        <w:rPr>
          <w:rStyle w:val="elementor-icon-list-text"/>
          <w:rFonts w:asciiTheme="minorHAnsi" w:hAnsiTheme="minorHAnsi" w:cstheme="minorHAnsi"/>
          <w:color w:val="333333"/>
        </w:rPr>
        <w:t>Ask #1</w:t>
      </w:r>
      <w:r w:rsidR="00BB526F">
        <w:rPr>
          <w:rStyle w:val="elementor-icon-list-text"/>
          <w:rFonts w:asciiTheme="minorHAnsi" w:hAnsiTheme="minorHAnsi" w:cstheme="minorHAnsi"/>
          <w:color w:val="333333"/>
        </w:rPr>
        <w:t xml:space="preserve"> and </w:t>
      </w:r>
      <w:proofErr w:type="gramStart"/>
      <w:r w:rsidR="00BB526F">
        <w:rPr>
          <w:rStyle w:val="elementor-icon-list-text"/>
          <w:rFonts w:asciiTheme="minorHAnsi" w:hAnsiTheme="minorHAnsi" w:cstheme="minorHAnsi"/>
          <w:color w:val="333333"/>
        </w:rPr>
        <w:t>Ask</w:t>
      </w:r>
      <w:proofErr w:type="gramEnd"/>
      <w:r w:rsidR="00BB526F">
        <w:rPr>
          <w:rStyle w:val="elementor-icon-list-text"/>
          <w:rFonts w:asciiTheme="minorHAnsi" w:hAnsiTheme="minorHAnsi" w:cstheme="minorHAnsi"/>
          <w:color w:val="333333"/>
        </w:rPr>
        <w:t xml:space="preserve"> #2</w:t>
      </w:r>
      <w:r w:rsidRPr="00072B0A">
        <w:rPr>
          <w:rStyle w:val="elementor-icon-list-text"/>
          <w:rFonts w:asciiTheme="minorHAnsi" w:hAnsiTheme="minorHAnsi" w:cstheme="minorHAnsi"/>
          <w:color w:val="333333"/>
        </w:rPr>
        <w:t xml:space="preserve">: </w:t>
      </w:r>
      <w:r w:rsidR="0013522E">
        <w:rPr>
          <w:rStyle w:val="elementor-icon-list-text"/>
          <w:rFonts w:asciiTheme="minorHAnsi" w:hAnsiTheme="minorHAnsi" w:cstheme="minorHAnsi"/>
          <w:color w:val="333333"/>
        </w:rPr>
        <w:t xml:space="preserve">(1) </w:t>
      </w:r>
      <w:r w:rsidR="00307E3D" w:rsidRPr="00072B0A">
        <w:rPr>
          <w:rStyle w:val="elementor-icon-list-text"/>
          <w:rFonts w:asciiTheme="minorHAnsi" w:hAnsiTheme="minorHAnsi" w:cstheme="minorHAnsi"/>
          <w:color w:val="333333"/>
        </w:rPr>
        <w:t>Support a permanent extension of the NMTC by cosponsoring NMTC Extension Act (H.R. 1321/ S. 45</w:t>
      </w:r>
      <w:r w:rsidRPr="00072B0A">
        <w:rPr>
          <w:rStyle w:val="elementor-icon-list-text"/>
          <w:rFonts w:asciiTheme="minorHAnsi" w:hAnsiTheme="minorHAnsi" w:cstheme="minorHAnsi"/>
          <w:color w:val="333333"/>
        </w:rPr>
        <w:t>6)</w:t>
      </w:r>
      <w:r w:rsidR="00BB526F">
        <w:rPr>
          <w:rStyle w:val="elementor-icon-list-text"/>
          <w:rFonts w:asciiTheme="minorHAnsi" w:hAnsiTheme="minorHAnsi" w:cstheme="minorHAnsi"/>
          <w:color w:val="333333"/>
        </w:rPr>
        <w:t xml:space="preserve"> and</w:t>
      </w:r>
      <w:r w:rsidR="0013522E">
        <w:rPr>
          <w:rStyle w:val="elementor-icon-list-text"/>
          <w:rFonts w:asciiTheme="minorHAnsi" w:hAnsiTheme="minorHAnsi" w:cstheme="minorHAnsi"/>
          <w:color w:val="333333"/>
        </w:rPr>
        <w:t xml:space="preserve"> (2)</w:t>
      </w:r>
      <w:r w:rsidR="00BB526F">
        <w:rPr>
          <w:rStyle w:val="elementor-icon-list-text"/>
          <w:rFonts w:asciiTheme="minorHAnsi" w:hAnsiTheme="minorHAnsi" w:cstheme="minorHAnsi"/>
          <w:color w:val="333333"/>
        </w:rPr>
        <w:t xml:space="preserve"> reach out to Congressional leadership and ask for the NMTC Extension Act to be included in any tax legislation.</w:t>
      </w:r>
    </w:p>
    <w:p w14:paraId="12EA158B" w14:textId="49DBCDC2" w:rsidR="00307E3D"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NMTC is not permanent:</w:t>
      </w:r>
      <w:r w:rsidRPr="00072B0A">
        <w:rPr>
          <w:rFonts w:asciiTheme="minorHAnsi" w:hAnsiTheme="minorHAnsi" w:cstheme="minorHAnsi"/>
          <w:color w:val="333333"/>
        </w:rPr>
        <w:t xml:space="preserve"> </w:t>
      </w:r>
      <w:r w:rsidR="00307E3D" w:rsidRPr="00072B0A">
        <w:rPr>
          <w:rFonts w:asciiTheme="minorHAnsi" w:hAnsiTheme="minorHAnsi" w:cstheme="minorHAnsi"/>
          <w:color w:val="333333"/>
        </w:rPr>
        <w:t xml:space="preserve">The NMTC was extended for five years at $5B in annual authority last December. It expires in 2025. </w:t>
      </w:r>
    </w:p>
    <w:p w14:paraId="10716E16" w14:textId="3CDFF59C" w:rsidR="00BB526F" w:rsidRPr="00072B0A" w:rsidRDefault="00BB526F"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Pr>
          <w:rFonts w:asciiTheme="minorHAnsi" w:hAnsiTheme="minorHAnsi" w:cstheme="minorHAnsi"/>
          <w:b/>
          <w:bCs/>
          <w:color w:val="333333"/>
        </w:rPr>
        <w:t>The NMTC lacks an inflation adjustment:</w:t>
      </w:r>
      <w:r>
        <w:rPr>
          <w:rFonts w:asciiTheme="minorHAnsi" w:hAnsiTheme="minorHAnsi" w:cstheme="minorHAnsi"/>
          <w:color w:val="333333"/>
        </w:rPr>
        <w:t xml:space="preserve"> The NMTC Extension Act would index the NMTC to inflation, like most tax policy.</w:t>
      </w:r>
    </w:p>
    <w:p w14:paraId="6529E99C" w14:textId="2ACACDF2" w:rsidR="00307E3D" w:rsidRPr="00072B0A" w:rsidRDefault="00072B0A" w:rsidP="00065DEE">
      <w:pPr>
        <w:pStyle w:val="elementor-icon-list-item"/>
        <w:numPr>
          <w:ilvl w:val="0"/>
          <w:numId w:val="11"/>
        </w:numPr>
        <w:spacing w:after="0"/>
        <w:textAlignment w:val="baseline"/>
        <w:rPr>
          <w:rFonts w:asciiTheme="minorHAnsi" w:hAnsiTheme="minorHAnsi" w:cstheme="minorHAnsi"/>
          <w:color w:val="333333"/>
        </w:rPr>
      </w:pPr>
      <w:r w:rsidRPr="00072B0A">
        <w:rPr>
          <w:rFonts w:asciiTheme="minorHAnsi" w:hAnsiTheme="minorHAnsi" w:cstheme="minorHAnsi"/>
          <w:b/>
          <w:bCs/>
          <w:color w:val="333333"/>
        </w:rPr>
        <w:t>Permanent tax policy is b</w:t>
      </w:r>
      <w:r w:rsidR="00307E3D" w:rsidRPr="00072B0A">
        <w:rPr>
          <w:rFonts w:asciiTheme="minorHAnsi" w:hAnsiTheme="minorHAnsi" w:cstheme="minorHAnsi"/>
          <w:b/>
          <w:bCs/>
          <w:color w:val="333333"/>
        </w:rPr>
        <w:t>etter</w:t>
      </w:r>
      <w:r w:rsidRPr="00072B0A">
        <w:rPr>
          <w:rFonts w:asciiTheme="minorHAnsi" w:hAnsiTheme="minorHAnsi" w:cstheme="minorHAnsi"/>
          <w:b/>
          <w:bCs/>
          <w:color w:val="333333"/>
        </w:rPr>
        <w:t xml:space="preserve"> tax</w:t>
      </w:r>
      <w:r w:rsidR="00307E3D" w:rsidRPr="00072B0A">
        <w:rPr>
          <w:rFonts w:asciiTheme="minorHAnsi" w:hAnsiTheme="minorHAnsi" w:cstheme="minorHAnsi"/>
          <w:b/>
          <w:bCs/>
          <w:color w:val="333333"/>
        </w:rPr>
        <w:t xml:space="preserve"> </w:t>
      </w:r>
      <w:r w:rsidR="00065DEE" w:rsidRPr="00072B0A">
        <w:rPr>
          <w:rFonts w:asciiTheme="minorHAnsi" w:hAnsiTheme="minorHAnsi" w:cstheme="minorHAnsi"/>
          <w:b/>
          <w:bCs/>
          <w:color w:val="333333"/>
        </w:rPr>
        <w:t>p</w:t>
      </w:r>
      <w:r w:rsidR="00307E3D" w:rsidRPr="00072B0A">
        <w:rPr>
          <w:rFonts w:asciiTheme="minorHAnsi" w:hAnsiTheme="minorHAnsi" w:cstheme="minorHAnsi"/>
          <w:b/>
          <w:bCs/>
          <w:color w:val="333333"/>
        </w:rPr>
        <w:t>olicy:</w:t>
      </w:r>
      <w:r w:rsidR="00307E3D" w:rsidRPr="00072B0A">
        <w:rPr>
          <w:rFonts w:asciiTheme="minorHAnsi" w:hAnsiTheme="minorHAnsi" w:cstheme="minorHAnsi"/>
          <w:color w:val="333333"/>
        </w:rPr>
        <w:t xml:space="preserve"> It’s time for an end to this one foot on the gas, one foot on the break approach to tax policy. Communities, businesses, investors, and </w:t>
      </w:r>
      <w:r w:rsidR="00065DEE" w:rsidRPr="00072B0A">
        <w:rPr>
          <w:rFonts w:asciiTheme="minorHAnsi" w:hAnsiTheme="minorHAnsi" w:cstheme="minorHAnsi"/>
          <w:color w:val="333333"/>
        </w:rPr>
        <w:t>community development practitioners</w:t>
      </w:r>
      <w:r w:rsidR="00307E3D" w:rsidRPr="00072B0A">
        <w:rPr>
          <w:rFonts w:asciiTheme="minorHAnsi" w:hAnsiTheme="minorHAnsi" w:cstheme="minorHAnsi"/>
          <w:color w:val="333333"/>
        </w:rPr>
        <w:t xml:space="preserve"> should be </w:t>
      </w:r>
      <w:r w:rsidR="00065DEE" w:rsidRPr="00072B0A">
        <w:rPr>
          <w:rFonts w:asciiTheme="minorHAnsi" w:hAnsiTheme="minorHAnsi" w:cstheme="minorHAnsi"/>
          <w:color w:val="333333"/>
        </w:rPr>
        <w:t xml:space="preserve">able to count </w:t>
      </w:r>
      <w:r w:rsidR="00307E3D" w:rsidRPr="00072B0A">
        <w:rPr>
          <w:rFonts w:asciiTheme="minorHAnsi" w:hAnsiTheme="minorHAnsi" w:cstheme="minorHAnsi"/>
          <w:color w:val="333333"/>
        </w:rPr>
        <w:t>on incentives like the NMTC.</w:t>
      </w:r>
    </w:p>
    <w:p w14:paraId="4E9FD123" w14:textId="3F771ACA" w:rsidR="00307E3D" w:rsidRPr="00072B0A" w:rsidRDefault="00307E3D" w:rsidP="00065DEE">
      <w:pPr>
        <w:pStyle w:val="elementor-icon-list-item"/>
        <w:numPr>
          <w:ilvl w:val="0"/>
          <w:numId w:val="11"/>
        </w:numPr>
        <w:spacing w:after="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Bipartisan </w:t>
      </w:r>
      <w:r w:rsidR="00065DEE" w:rsidRPr="00072B0A">
        <w:rPr>
          <w:rFonts w:asciiTheme="minorHAnsi" w:hAnsiTheme="minorHAnsi" w:cstheme="minorHAnsi"/>
          <w:b/>
          <w:bCs/>
          <w:color w:val="333333"/>
        </w:rPr>
        <w:t>a</w:t>
      </w:r>
      <w:r w:rsidRPr="00072B0A">
        <w:rPr>
          <w:rFonts w:asciiTheme="minorHAnsi" w:hAnsiTheme="minorHAnsi" w:cstheme="minorHAnsi"/>
          <w:b/>
          <w:bCs/>
          <w:color w:val="333333"/>
        </w:rPr>
        <w:t>greement:</w:t>
      </w:r>
      <w:r w:rsidRPr="00072B0A">
        <w:rPr>
          <w:rFonts w:asciiTheme="minorHAnsi" w:hAnsiTheme="minorHAnsi" w:cstheme="minorHAnsi"/>
          <w:color w:val="333333"/>
        </w:rPr>
        <w:t xml:space="preserve"> The bipartisan NMTC Extension Act of 20</w:t>
      </w:r>
      <w:r w:rsidR="00065DEE" w:rsidRPr="00072B0A">
        <w:rPr>
          <w:rFonts w:asciiTheme="minorHAnsi" w:hAnsiTheme="minorHAnsi" w:cstheme="minorHAnsi"/>
          <w:color w:val="333333"/>
        </w:rPr>
        <w:t>21</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h</w:t>
      </w:r>
      <w:r w:rsidRPr="00072B0A">
        <w:rPr>
          <w:rFonts w:asciiTheme="minorHAnsi" w:hAnsiTheme="minorHAnsi" w:cstheme="minorHAnsi"/>
          <w:color w:val="333333"/>
        </w:rPr>
        <w:t>as the support of</w:t>
      </w:r>
      <w:r w:rsidR="00065DEE" w:rsidRPr="00072B0A">
        <w:rPr>
          <w:rFonts w:asciiTheme="minorHAnsi" w:hAnsiTheme="minorHAnsi" w:cstheme="minorHAnsi"/>
          <w:color w:val="333333"/>
        </w:rPr>
        <w:t xml:space="preserve"> </w:t>
      </w:r>
      <w:r w:rsidR="00BB526F">
        <w:rPr>
          <w:rFonts w:asciiTheme="minorHAnsi" w:hAnsiTheme="minorHAnsi" w:cstheme="minorHAnsi"/>
          <w:color w:val="333333"/>
        </w:rPr>
        <w:t>108</w:t>
      </w:r>
      <w:r w:rsidRPr="00072B0A">
        <w:rPr>
          <w:rFonts w:asciiTheme="minorHAnsi" w:hAnsiTheme="minorHAnsi" w:cstheme="minorHAnsi"/>
          <w:color w:val="333333"/>
        </w:rPr>
        <w:t xml:space="preserve"> Representatives</w:t>
      </w:r>
      <w:r w:rsidR="00065DEE" w:rsidRPr="00072B0A">
        <w:rPr>
          <w:rFonts w:asciiTheme="minorHAnsi" w:hAnsiTheme="minorHAnsi" w:cstheme="minorHAnsi"/>
          <w:color w:val="333333"/>
        </w:rPr>
        <w:t xml:space="preserve"> (including </w:t>
      </w:r>
      <w:proofErr w:type="gramStart"/>
      <w:r w:rsidR="00065DEE" w:rsidRPr="00072B0A">
        <w:rPr>
          <w:rFonts w:asciiTheme="minorHAnsi" w:hAnsiTheme="minorHAnsi" w:cstheme="minorHAnsi"/>
          <w:color w:val="333333"/>
        </w:rPr>
        <w:t>a majority of</w:t>
      </w:r>
      <w:proofErr w:type="gramEnd"/>
      <w:r w:rsidR="00065DEE" w:rsidRPr="00072B0A">
        <w:rPr>
          <w:rFonts w:asciiTheme="minorHAnsi" w:hAnsiTheme="minorHAnsi" w:cstheme="minorHAnsi"/>
          <w:color w:val="333333"/>
        </w:rPr>
        <w:t xml:space="preserve"> the Ways and Means Committee) and</w:t>
      </w:r>
      <w:r w:rsidRPr="00072B0A">
        <w:rPr>
          <w:rFonts w:asciiTheme="minorHAnsi" w:hAnsiTheme="minorHAnsi" w:cstheme="minorHAnsi"/>
          <w:color w:val="333333"/>
        </w:rPr>
        <w:t xml:space="preserve"> </w:t>
      </w:r>
      <w:r w:rsidR="00BB526F">
        <w:rPr>
          <w:rFonts w:asciiTheme="minorHAnsi" w:hAnsiTheme="minorHAnsi" w:cstheme="minorHAnsi"/>
          <w:color w:val="333333"/>
        </w:rPr>
        <w:t>22</w:t>
      </w:r>
      <w:r w:rsidRPr="00072B0A">
        <w:rPr>
          <w:rFonts w:asciiTheme="minorHAnsi" w:hAnsiTheme="minorHAnsi" w:cstheme="minorHAnsi"/>
          <w:color w:val="333333"/>
        </w:rPr>
        <w:t xml:space="preserve"> Senators evenly spread </w:t>
      </w:r>
      <w:r w:rsidR="00065DEE" w:rsidRPr="00072B0A">
        <w:rPr>
          <w:rFonts w:asciiTheme="minorHAnsi" w:hAnsiTheme="minorHAnsi" w:cstheme="minorHAnsi"/>
          <w:color w:val="333333"/>
        </w:rPr>
        <w:t>across</w:t>
      </w:r>
      <w:r w:rsidRPr="00072B0A">
        <w:rPr>
          <w:rFonts w:asciiTheme="minorHAnsi" w:hAnsiTheme="minorHAnsi" w:cstheme="minorHAnsi"/>
          <w:color w:val="333333"/>
        </w:rPr>
        <w:t xml:space="preserve"> both parties</w:t>
      </w:r>
      <w:r w:rsidR="00065DEE" w:rsidRPr="00072B0A">
        <w:rPr>
          <w:rFonts w:asciiTheme="minorHAnsi" w:hAnsiTheme="minorHAnsi" w:cstheme="minorHAnsi"/>
          <w:color w:val="333333"/>
        </w:rPr>
        <w:t xml:space="preserve">. </w:t>
      </w:r>
      <w:r w:rsidR="00072B0A" w:rsidRPr="00072B0A">
        <w:rPr>
          <w:rFonts w:asciiTheme="minorHAnsi" w:hAnsiTheme="minorHAnsi" w:cstheme="minorHAnsi"/>
          <w:color w:val="333333"/>
        </w:rPr>
        <w:t xml:space="preserve">Existing cosponsors: </w:t>
      </w:r>
      <w:hyperlink r:id="rId8" w:history="1">
        <w:r w:rsidR="00065DEE" w:rsidRPr="00072B0A">
          <w:rPr>
            <w:rStyle w:val="Hyperlink"/>
            <w:rFonts w:asciiTheme="minorHAnsi" w:hAnsiTheme="minorHAnsi" w:cstheme="minorHAnsi"/>
          </w:rPr>
          <w:t>https://nmtccoalition.org/extension-bills</w:t>
        </w:r>
      </w:hyperlink>
    </w:p>
    <w:p w14:paraId="79A6AE3F" w14:textId="26A82BEC" w:rsidR="00065DEE" w:rsidRPr="00072B0A" w:rsidRDefault="00307E3D" w:rsidP="00307E3D">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Community support</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Last year, o</w:t>
      </w:r>
      <w:r w:rsidRPr="00072B0A">
        <w:rPr>
          <w:rFonts w:asciiTheme="minorHAnsi" w:hAnsiTheme="minorHAnsi" w:cstheme="minorHAnsi"/>
          <w:color w:val="333333"/>
        </w:rPr>
        <w:t xml:space="preserve">ver 700 businesses, community leaders, cities, nonprofits, and community development organizations wrote to Congress asking for a permanent extension of the program. </w:t>
      </w:r>
      <w:hyperlink r:id="rId9" w:history="1">
        <w:r w:rsidR="00065DEE" w:rsidRPr="00072B0A">
          <w:rPr>
            <w:rStyle w:val="Hyperlink"/>
            <w:rFonts w:asciiTheme="minorHAnsi" w:hAnsiTheme="minorHAnsi" w:cstheme="minorHAnsi"/>
          </w:rPr>
          <w:t>https://nmtccoalition.org/sign-on-letters</w:t>
        </w:r>
      </w:hyperlink>
    </w:p>
    <w:p w14:paraId="123301E1" w14:textId="77777777" w:rsidR="00BB526F" w:rsidRPr="00BB526F" w:rsidRDefault="00065DEE" w:rsidP="00757F3B">
      <w:pPr>
        <w:pStyle w:val="ListParagraph"/>
        <w:numPr>
          <w:ilvl w:val="0"/>
          <w:numId w:val="11"/>
        </w:numPr>
        <w:spacing w:after="0"/>
        <w:textAlignment w:val="baseline"/>
      </w:pPr>
      <w:r w:rsidRPr="00BB526F">
        <w:rPr>
          <w:rFonts w:cstheme="minorHAnsi"/>
          <w:b/>
          <w:bCs/>
          <w:color w:val="333333"/>
        </w:rPr>
        <w:t>Efficiency Gains:</w:t>
      </w:r>
      <w:r w:rsidRPr="00BB526F">
        <w:rPr>
          <w:rFonts w:cstheme="minorHAnsi"/>
          <w:color w:val="333333"/>
        </w:rPr>
        <w:t xml:space="preserve"> Providing</w:t>
      </w:r>
      <w:r w:rsidR="00307E3D" w:rsidRPr="00BB526F">
        <w:rPr>
          <w:rFonts w:cstheme="minorHAnsi"/>
          <w:color w:val="333333"/>
        </w:rPr>
        <w:t xml:space="preserve"> AMT relief </w:t>
      </w:r>
      <w:r w:rsidRPr="00BB526F">
        <w:rPr>
          <w:rFonts w:cstheme="minorHAnsi"/>
          <w:color w:val="333333"/>
        </w:rPr>
        <w:t xml:space="preserve">for investors </w:t>
      </w:r>
      <w:r w:rsidR="00BB526F" w:rsidRPr="00BB526F">
        <w:rPr>
          <w:rFonts w:eastAsia="Times New Roman" w:cstheme="minorHAnsi"/>
          <w:color w:val="333333"/>
          <w:sz w:val="24"/>
          <w:szCs w:val="24"/>
        </w:rPr>
        <w:t>Diversifies investor market, helping the maintain efficiency during recessions when the NMTC is needed most.</w:t>
      </w:r>
    </w:p>
    <w:p w14:paraId="5AB7F299" w14:textId="343DB615" w:rsidR="00BB526F" w:rsidRDefault="00BB526F" w:rsidP="00757F3B">
      <w:pPr>
        <w:pStyle w:val="ListParagraph"/>
        <w:numPr>
          <w:ilvl w:val="0"/>
          <w:numId w:val="11"/>
        </w:numPr>
        <w:spacing w:after="0"/>
        <w:textAlignment w:val="baseline"/>
      </w:pPr>
      <w:r w:rsidRPr="00BB526F">
        <w:rPr>
          <w:rFonts w:cstheme="minorHAnsi"/>
          <w:b/>
          <w:bCs/>
          <w:color w:val="333333"/>
        </w:rPr>
        <w:t>Low cost:</w:t>
      </w:r>
      <w:r w:rsidRPr="00BB526F">
        <w:rPr>
          <w:rFonts w:cstheme="minorHAnsi"/>
          <w:color w:val="333333"/>
        </w:rPr>
        <w:t xml:space="preserve"> </w:t>
      </w:r>
      <w:r>
        <w:t>Congress has an opportunity to make one of the federal government’s most successful community development programs permanent at the low, ten-year cost of $1.38 billion, according to the Joint Committee on Taxation.</w:t>
      </w:r>
    </w:p>
    <w:p w14:paraId="3E7F0C29" w14:textId="3049999D" w:rsidR="009A0AAE" w:rsidRPr="009A0AAE" w:rsidRDefault="009A0AAE" w:rsidP="009A0AAE">
      <w:pPr>
        <w:pStyle w:val="ListParagraph"/>
        <w:numPr>
          <w:ilvl w:val="1"/>
          <w:numId w:val="11"/>
        </w:numPr>
        <w:spacing w:after="0"/>
        <w:textAlignment w:val="baseline"/>
      </w:pPr>
      <w:r>
        <w:rPr>
          <w:rFonts w:cstheme="minorHAnsi"/>
          <w:b/>
          <w:bCs/>
          <w:color w:val="333333"/>
        </w:rPr>
        <w:t>It will never be cheaper to make the NMTC permanent.</w:t>
      </w:r>
    </w:p>
    <w:p w14:paraId="3A84B0A0" w14:textId="77777777" w:rsidR="009A0AAE" w:rsidRDefault="009A0AAE" w:rsidP="009A0AAE">
      <w:pPr>
        <w:pStyle w:val="ListParagraph"/>
        <w:numPr>
          <w:ilvl w:val="1"/>
          <w:numId w:val="11"/>
        </w:numPr>
      </w:pPr>
      <w:r>
        <w:t>Here’s what a permanent NMTC extension (along the lines of the bipartisan NMTC Extension Act of 2021) gets you through 2031:</w:t>
      </w:r>
    </w:p>
    <w:p w14:paraId="69A29668" w14:textId="77777777" w:rsidR="009A0AAE" w:rsidRDefault="009A0AAE" w:rsidP="009A0AAE">
      <w:pPr>
        <w:pStyle w:val="ListParagraph"/>
        <w:numPr>
          <w:ilvl w:val="0"/>
          <w:numId w:val="23"/>
        </w:numPr>
      </w:pPr>
      <w:r>
        <w:t>$35.8 billion in newly authorized NMTC allocation</w:t>
      </w:r>
    </w:p>
    <w:p w14:paraId="1296E6F7" w14:textId="43F2BA21" w:rsidR="009A0AAE" w:rsidRDefault="009A0AAE" w:rsidP="00955B9E">
      <w:pPr>
        <w:pStyle w:val="ListParagraph"/>
        <w:numPr>
          <w:ilvl w:val="2"/>
          <w:numId w:val="20"/>
        </w:numPr>
        <w:ind w:left="1800"/>
      </w:pPr>
      <w:r>
        <w:t xml:space="preserve">Total project financing of $71.3 billion to over 4,300 projects in low-income </w:t>
      </w:r>
      <w:proofErr w:type="spellStart"/>
      <w:r>
        <w:t>communitie</w:t>
      </w:r>
      <w:proofErr w:type="spellEnd"/>
      <w:r>
        <w:t>, including $</w:t>
      </w:r>
      <w:r>
        <w:t>16.8 billion in total project financing to rural America.</w:t>
      </w:r>
    </w:p>
    <w:p w14:paraId="6BF6E964" w14:textId="543A91E3" w:rsidR="009A0AAE" w:rsidRPr="009A0AAE" w:rsidRDefault="009A0AAE" w:rsidP="009A0AAE">
      <w:pPr>
        <w:pStyle w:val="ListParagraph"/>
        <w:numPr>
          <w:ilvl w:val="2"/>
          <w:numId w:val="20"/>
        </w:numPr>
        <w:ind w:left="1800"/>
        <w:rPr>
          <w:b/>
          <w:bCs/>
        </w:rPr>
      </w:pPr>
      <w:r w:rsidRPr="009A0AAE">
        <w:t>583k jobs, including 366k permanent, full-time jobs, and 217k construction jobs</w:t>
      </w:r>
      <w:r>
        <w:t xml:space="preserve">, </w:t>
      </w:r>
      <w:r w:rsidRPr="009A0AAE">
        <w:rPr>
          <w:b/>
          <w:bCs/>
        </w:rPr>
        <w:t>all at a cost per job of under $3,000.</w:t>
      </w:r>
    </w:p>
    <w:p w14:paraId="2D60BA9B" w14:textId="144CFB7D" w:rsidR="00BB526F" w:rsidRDefault="00BB526F" w:rsidP="00BB526F">
      <w:pPr>
        <w:pStyle w:val="elementor-icon-list-item"/>
        <w:spacing w:before="0" w:beforeAutospacing="0" w:after="0" w:afterAutospacing="0"/>
        <w:textAlignment w:val="baseline"/>
      </w:pPr>
    </w:p>
    <w:p w14:paraId="69FA0E4A" w14:textId="46BFA1F4" w:rsidR="0013522E" w:rsidRPr="00072B0A" w:rsidRDefault="0013522E" w:rsidP="0013522E">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highlight w:val="yellow"/>
        </w:rPr>
      </w:pPr>
      <w:r>
        <w:rPr>
          <w:rStyle w:val="elementor-icon-list-text"/>
          <w:rFonts w:asciiTheme="minorHAnsi" w:hAnsiTheme="minorHAnsi" w:cstheme="minorHAnsi"/>
          <w:color w:val="333333"/>
        </w:rPr>
        <w:lastRenderedPageBreak/>
        <w:t xml:space="preserve">Ask #3: Project community development tax incentives from adverse effects of the Pillar II treaty. </w:t>
      </w:r>
    </w:p>
    <w:p w14:paraId="01865935" w14:textId="73FAADF0" w:rsidR="0013522E" w:rsidRPr="0013522E" w:rsidRDefault="0013522E" w:rsidP="0013522E">
      <w:pPr>
        <w:pStyle w:val="ListParagraph"/>
        <w:numPr>
          <w:ilvl w:val="0"/>
          <w:numId w:val="22"/>
        </w:numPr>
        <w:rPr>
          <w:rFonts w:cstheme="minorHAnsi"/>
          <w:color w:val="000000"/>
          <w:shd w:val="clear" w:color="auto" w:fill="FFFFFF"/>
        </w:rPr>
      </w:pPr>
      <w:r w:rsidRPr="0013522E">
        <w:rPr>
          <w:rFonts w:cstheme="minorHAnsi"/>
          <w:b/>
          <w:bCs/>
          <w:color w:val="000000"/>
          <w:shd w:val="clear" w:color="auto" w:fill="FFFFFF"/>
        </w:rPr>
        <w:t>Pillar Could Upend Investors’ Participation in the NMTC</w:t>
      </w:r>
      <w:r w:rsidRPr="0013522E">
        <w:rPr>
          <w:rFonts w:cstheme="minorHAnsi"/>
          <w:b/>
          <w:bCs/>
          <w:color w:val="000000"/>
          <w:shd w:val="clear" w:color="auto" w:fill="FFFFFF"/>
        </w:rPr>
        <w:t xml:space="preserve">: </w:t>
      </w:r>
      <w:r w:rsidRPr="0013522E">
        <w:rPr>
          <w:rFonts w:cstheme="minorHAnsi"/>
          <w:color w:val="000000"/>
          <w:shd w:val="clear" w:color="auto" w:fill="FFFFFF"/>
        </w:rPr>
        <w:t xml:space="preserve">Nearly all NMTC investments come from corporations. NMTC investors are essential partners in the NMTC program, providing the private-sector capital necessary for CDEs to invest in meaningful community and economic development projects in underserved areas. This approach has been tremendously successful, but the Pillar II treaty may upend investors participation in the NMTC program. </w:t>
      </w:r>
    </w:p>
    <w:p w14:paraId="1DED9153" w14:textId="07BF6C69" w:rsidR="0013522E" w:rsidRPr="0013522E" w:rsidRDefault="009A0AAE" w:rsidP="0013522E">
      <w:pPr>
        <w:pStyle w:val="ListParagraph"/>
        <w:numPr>
          <w:ilvl w:val="0"/>
          <w:numId w:val="22"/>
        </w:numPr>
        <w:rPr>
          <w:rFonts w:cstheme="minorHAnsi"/>
          <w:shd w:val="clear" w:color="auto" w:fill="FFFFFF"/>
        </w:rPr>
      </w:pPr>
      <w:r>
        <w:rPr>
          <w:rFonts w:cstheme="minorHAnsi"/>
          <w:b/>
          <w:bCs/>
          <w:shd w:val="clear" w:color="auto" w:fill="FFFFFF"/>
        </w:rPr>
        <w:t>Which Investors are Impacte</w:t>
      </w:r>
      <w:r w:rsidRPr="009A0AAE">
        <w:rPr>
          <w:rFonts w:cstheme="minorHAnsi"/>
          <w:b/>
          <w:bCs/>
          <w:shd w:val="clear" w:color="auto" w:fill="FFFFFF"/>
        </w:rPr>
        <w:t>d</w:t>
      </w:r>
      <w:r w:rsidRPr="009A0AAE">
        <w:rPr>
          <w:rFonts w:cstheme="minorHAnsi"/>
          <w:shd w:val="clear" w:color="auto" w:fill="FFFFFF"/>
        </w:rPr>
        <w:t xml:space="preserve">? </w:t>
      </w:r>
      <w:r w:rsidR="0013522E" w:rsidRPr="009A0AAE">
        <w:rPr>
          <w:rFonts w:cstheme="minorHAnsi"/>
          <w:u w:val="single"/>
          <w:shd w:val="clear" w:color="auto" w:fill="FFFFFF"/>
        </w:rPr>
        <w:t>Statistics on Investor Participation (2016-2020)</w:t>
      </w:r>
      <w:r w:rsidR="0013522E" w:rsidRPr="009A0AAE">
        <w:rPr>
          <w:rFonts w:cstheme="minorHAnsi"/>
          <w:u w:val="single"/>
          <w:shd w:val="clear" w:color="auto" w:fill="FFFFFF"/>
        </w:rPr>
        <w:t>:</w:t>
      </w:r>
      <w:r w:rsidR="0013522E" w:rsidRPr="0013522E">
        <w:rPr>
          <w:rFonts w:cstheme="minorHAnsi"/>
          <w:b/>
          <w:bCs/>
          <w:shd w:val="clear" w:color="auto" w:fill="FFFFFF"/>
        </w:rPr>
        <w:t xml:space="preserve"> </w:t>
      </w:r>
      <w:r w:rsidR="0013522E" w:rsidRPr="0013522E">
        <w:rPr>
          <w:rFonts w:cstheme="minorHAnsi"/>
          <w:shd w:val="clear" w:color="auto" w:fill="FFFFFF"/>
        </w:rPr>
        <w:t>Over the past 5 years, 18 NMTC investors were multi-national corporations or have a significant international footprint. These investors accounted for 90% of all NMTC equity investments.</w:t>
      </w:r>
    </w:p>
    <w:p w14:paraId="31012470" w14:textId="105BED3C" w:rsidR="0013522E" w:rsidRPr="0013522E" w:rsidRDefault="0013522E" w:rsidP="0013522E">
      <w:pPr>
        <w:pStyle w:val="ListParagraph"/>
        <w:numPr>
          <w:ilvl w:val="0"/>
          <w:numId w:val="22"/>
        </w:numPr>
        <w:rPr>
          <w:rFonts w:cstheme="minorHAnsi"/>
          <w:color w:val="000000"/>
          <w:shd w:val="clear" w:color="auto" w:fill="FFFFFF"/>
        </w:rPr>
      </w:pPr>
      <w:r w:rsidRPr="0013522E">
        <w:rPr>
          <w:rFonts w:cstheme="minorHAnsi"/>
          <w:b/>
          <w:bCs/>
          <w:color w:val="000000"/>
          <w:shd w:val="clear" w:color="auto" w:fill="FFFFFF"/>
        </w:rPr>
        <w:t>Impact on Pricing</w:t>
      </w:r>
      <w:r w:rsidRPr="0013522E">
        <w:rPr>
          <w:rFonts w:cstheme="minorHAnsi"/>
          <w:b/>
          <w:bCs/>
          <w:color w:val="000000"/>
          <w:shd w:val="clear" w:color="auto" w:fill="FFFFFF"/>
        </w:rPr>
        <w:t xml:space="preserve">: </w:t>
      </w:r>
      <w:r w:rsidRPr="0013522E">
        <w:rPr>
          <w:rFonts w:cstheme="minorHAnsi"/>
          <w:color w:val="000000"/>
          <w:shd w:val="clear" w:color="auto" w:fill="FFFFFF"/>
        </w:rPr>
        <w:t xml:space="preserve">Investors must compete for NMTCs, and a competitive investor market boosts the benefit for NMTC-eligible communities. If the treaty goes forward without amendment, the NMTC industry could see a significant decline in demand from investors for </w:t>
      </w:r>
      <w:proofErr w:type="gramStart"/>
      <w:r w:rsidRPr="0013522E">
        <w:rPr>
          <w:rFonts w:cstheme="minorHAnsi"/>
          <w:color w:val="000000"/>
          <w:shd w:val="clear" w:color="auto" w:fill="FFFFFF"/>
        </w:rPr>
        <w:t>NMTCs..</w:t>
      </w:r>
      <w:proofErr w:type="gramEnd"/>
      <w:r w:rsidRPr="0013522E">
        <w:rPr>
          <w:rFonts w:cstheme="minorHAnsi"/>
          <w:color w:val="000000"/>
          <w:shd w:val="clear" w:color="auto" w:fill="FFFFFF"/>
        </w:rPr>
        <w:t xml:space="preserve"> Investors take the credit over seven years, so the impact of the treaty on credit pricing will be apparent long before it goes into effect. </w:t>
      </w:r>
    </w:p>
    <w:p w14:paraId="0A9A6DF5" w14:textId="2BEA3478" w:rsidR="00247412" w:rsidRPr="009A0AAE" w:rsidRDefault="0013522E" w:rsidP="00FA1542">
      <w:pPr>
        <w:pStyle w:val="ListParagraph"/>
        <w:numPr>
          <w:ilvl w:val="0"/>
          <w:numId w:val="22"/>
        </w:numPr>
        <w:rPr>
          <w:rFonts w:cstheme="minorHAnsi"/>
          <w:shd w:val="clear" w:color="auto" w:fill="FFFFFF"/>
        </w:rPr>
      </w:pPr>
      <w:r w:rsidRPr="0013522E">
        <w:rPr>
          <w:rFonts w:cstheme="minorHAnsi"/>
          <w:b/>
          <w:bCs/>
          <w:color w:val="000000"/>
          <w:shd w:val="clear" w:color="auto" w:fill="FFFFFF"/>
        </w:rPr>
        <w:t>Why demand matters:</w:t>
      </w:r>
      <w:r w:rsidRPr="0013522E">
        <w:rPr>
          <w:rFonts w:cstheme="minorHAnsi"/>
          <w:color w:val="000000"/>
          <w:shd w:val="clear" w:color="auto" w:fill="FFFFFF"/>
        </w:rPr>
        <w:t xml:space="preserve"> </w:t>
      </w:r>
      <w:r w:rsidRPr="0013522E">
        <w:rPr>
          <w:rFonts w:cstheme="minorHAnsi"/>
          <w:color w:val="000000"/>
          <w:shd w:val="clear" w:color="auto" w:fill="FFFFFF"/>
        </w:rPr>
        <w:t xml:space="preserve">When the price paid in exchange for the credit drops, the program loses efficiency, and we see a corresponding decrease in the amount of benefit reaching businesses and revitalization projects. Higher NMTC pricing also drives resources into areas of deeper distress. In 2010, about 72 percent of projects </w:t>
      </w:r>
      <w:proofErr w:type="gramStart"/>
      <w:r w:rsidRPr="0013522E">
        <w:rPr>
          <w:rFonts w:cstheme="minorHAnsi"/>
          <w:color w:val="000000"/>
          <w:shd w:val="clear" w:color="auto" w:fill="FFFFFF"/>
        </w:rPr>
        <w:t>were located in</w:t>
      </w:r>
      <w:proofErr w:type="gramEnd"/>
      <w:r w:rsidRPr="0013522E">
        <w:rPr>
          <w:rFonts w:cstheme="minorHAnsi"/>
          <w:color w:val="000000"/>
          <w:shd w:val="clear" w:color="auto" w:fill="FFFFFF"/>
        </w:rPr>
        <w:t xml:space="preserve"> severely distressed communities with economic conditions far exceeding the statutory requirements for economic distress. In 2018, with credit pricing around 86 cents, nearly 80 percent of projects were in severely distressed communities. </w:t>
      </w:r>
    </w:p>
    <w:p w14:paraId="1A714E3D" w14:textId="725A7FF4" w:rsidR="00FA1542" w:rsidRPr="00FA1542" w:rsidRDefault="00FA1542" w:rsidP="00FA1542">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color w:val="auto"/>
        </w:rPr>
      </w:pPr>
      <w:r w:rsidRPr="00FA1542">
        <w:rPr>
          <w:color w:val="auto"/>
        </w:rPr>
        <w:t>General Stats and Talking Points on the NMTC</w:t>
      </w:r>
    </w:p>
    <w:p w14:paraId="531D77F4" w14:textId="0CD70338" w:rsidR="005838FA" w:rsidRPr="005838FA" w:rsidRDefault="005838FA" w:rsidP="00FA1542">
      <w:pPr>
        <w:pStyle w:val="Heading2"/>
      </w:pPr>
      <w:r w:rsidRPr="005838FA">
        <w:t>National Stats</w:t>
      </w:r>
      <w:r w:rsidR="00125C5A">
        <w:t xml:space="preserve"> (through </w:t>
      </w:r>
      <w:r w:rsidR="0013522E">
        <w:t>2021</w:t>
      </w:r>
      <w:r w:rsidR="00125C5A">
        <w:t>)</w:t>
      </w:r>
      <w:r w:rsidRPr="005838FA">
        <w:t>:</w:t>
      </w:r>
    </w:p>
    <w:p w14:paraId="3264A21B" w14:textId="72DA5862"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Driving investment:</w:t>
      </w:r>
      <w:r w:rsidRPr="00FA1542">
        <w:rPr>
          <w:rFonts w:cstheme="minorHAnsi"/>
          <w:sz w:val="24"/>
          <w:szCs w:val="24"/>
        </w:rPr>
        <w:t xml:space="preserve"> Through </w:t>
      </w:r>
      <w:r w:rsidR="0013522E">
        <w:rPr>
          <w:rFonts w:cstheme="minorHAnsi"/>
          <w:sz w:val="24"/>
          <w:szCs w:val="24"/>
        </w:rPr>
        <w:t>2021</w:t>
      </w:r>
      <w:r w:rsidRPr="00FA1542">
        <w:rPr>
          <w:rFonts w:cstheme="minorHAnsi"/>
          <w:sz w:val="24"/>
          <w:szCs w:val="24"/>
        </w:rPr>
        <w:t xml:space="preserve">, the NMTC allocations - totaling </w:t>
      </w:r>
      <w:r w:rsidR="00125C5A" w:rsidRPr="00FA1542">
        <w:rPr>
          <w:rFonts w:cstheme="minorHAnsi"/>
          <w:sz w:val="24"/>
          <w:szCs w:val="24"/>
        </w:rPr>
        <w:t xml:space="preserve">nearly </w:t>
      </w:r>
      <w:r w:rsidRPr="00FA1542">
        <w:rPr>
          <w:rFonts w:cstheme="minorHAnsi"/>
          <w:sz w:val="24"/>
          <w:szCs w:val="24"/>
        </w:rPr>
        <w:t>$6</w:t>
      </w:r>
      <w:r w:rsidR="0013522E">
        <w:rPr>
          <w:rFonts w:cstheme="minorHAnsi"/>
          <w:sz w:val="24"/>
          <w:szCs w:val="24"/>
        </w:rPr>
        <w:t>4</w:t>
      </w:r>
      <w:r w:rsidRPr="00FA1542">
        <w:rPr>
          <w:rFonts w:cstheme="minorHAnsi"/>
          <w:sz w:val="24"/>
          <w:szCs w:val="24"/>
        </w:rPr>
        <w:t xml:space="preserve"> billion - have delivered </w:t>
      </w:r>
      <w:r w:rsidR="0013522E">
        <w:rPr>
          <w:rFonts w:cstheme="minorHAnsi"/>
          <w:sz w:val="24"/>
          <w:szCs w:val="24"/>
        </w:rPr>
        <w:t>over $120</w:t>
      </w:r>
      <w:r w:rsidRPr="00FA1542">
        <w:rPr>
          <w:rFonts w:cstheme="minorHAnsi"/>
          <w:sz w:val="24"/>
          <w:szCs w:val="24"/>
        </w:rPr>
        <w:t xml:space="preserve"> billion in total project financing to </w:t>
      </w:r>
      <w:r w:rsidR="0013522E">
        <w:rPr>
          <w:rFonts w:cstheme="minorHAnsi"/>
          <w:sz w:val="24"/>
          <w:szCs w:val="24"/>
        </w:rPr>
        <w:t>over 7</w:t>
      </w:r>
      <w:r w:rsidR="00125C5A" w:rsidRPr="00FA1542">
        <w:rPr>
          <w:rFonts w:cstheme="minorHAnsi"/>
          <w:sz w:val="24"/>
          <w:szCs w:val="24"/>
        </w:rPr>
        <w:t>,</w:t>
      </w:r>
      <w:r w:rsidR="0013522E">
        <w:rPr>
          <w:rFonts w:cstheme="minorHAnsi"/>
          <w:sz w:val="24"/>
          <w:szCs w:val="24"/>
        </w:rPr>
        <w:t>5</w:t>
      </w:r>
      <w:r w:rsidR="00125C5A" w:rsidRPr="00FA1542">
        <w:rPr>
          <w:rFonts w:cstheme="minorHAnsi"/>
          <w:sz w:val="24"/>
          <w:szCs w:val="24"/>
        </w:rPr>
        <w:t>00</w:t>
      </w:r>
      <w:r w:rsidRPr="00FA1542">
        <w:rPr>
          <w:rFonts w:cstheme="minorHAnsi"/>
          <w:sz w:val="24"/>
          <w:szCs w:val="24"/>
        </w:rPr>
        <w:t xml:space="preserve"> projects. </w:t>
      </w:r>
    </w:p>
    <w:p w14:paraId="59ABA845" w14:textId="79B25367"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Improving services</w:t>
      </w:r>
      <w:r w:rsidRPr="00FA1542">
        <w:rPr>
          <w:rFonts w:cstheme="minorHAnsi"/>
          <w:sz w:val="24"/>
          <w:szCs w:val="24"/>
        </w:rPr>
        <w:t xml:space="preserve">: The NMTC has financed over </w:t>
      </w:r>
      <w:r w:rsidR="00B27B28">
        <w:rPr>
          <w:rFonts w:cstheme="minorHAnsi"/>
          <w:sz w:val="24"/>
          <w:szCs w:val="24"/>
        </w:rPr>
        <w:t>3</w:t>
      </w:r>
      <w:r w:rsidRPr="00FA1542">
        <w:rPr>
          <w:rFonts w:cstheme="minorHAnsi"/>
          <w:sz w:val="24"/>
          <w:szCs w:val="24"/>
        </w:rPr>
        <w:t>,</w:t>
      </w:r>
      <w:r w:rsidR="00125C5A" w:rsidRPr="00FA1542">
        <w:rPr>
          <w:rFonts w:cstheme="minorHAnsi"/>
          <w:sz w:val="24"/>
          <w:szCs w:val="24"/>
        </w:rPr>
        <w:t>5</w:t>
      </w:r>
      <w:r w:rsidRPr="00FA1542">
        <w:rPr>
          <w:rFonts w:cstheme="minorHAnsi"/>
          <w:sz w:val="24"/>
          <w:szCs w:val="24"/>
        </w:rPr>
        <w:t>00 federally qualified health centers, schools, daycare centers, apprenticeship programs, treatment facilities, and other service providers.</w:t>
      </w:r>
    </w:p>
    <w:p w14:paraId="29633D54" w14:textId="4E73C120"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Jump-starting manufacturing:</w:t>
      </w:r>
      <w:r w:rsidRPr="00FA1542">
        <w:rPr>
          <w:rFonts w:cstheme="minorHAnsi"/>
          <w:sz w:val="24"/>
          <w:szCs w:val="24"/>
        </w:rPr>
        <w:t xml:space="preserve">  Over 1,</w:t>
      </w:r>
      <w:r w:rsidR="00B27B28">
        <w:rPr>
          <w:rFonts w:cstheme="minorHAnsi"/>
          <w:sz w:val="24"/>
          <w:szCs w:val="24"/>
        </w:rPr>
        <w:t>7</w:t>
      </w:r>
      <w:r w:rsidRPr="00FA1542">
        <w:rPr>
          <w:rFonts w:cstheme="minorHAnsi"/>
          <w:sz w:val="24"/>
          <w:szCs w:val="24"/>
        </w:rPr>
        <w:t>00 manufacturing and industrial businesses financed to date.</w:t>
      </w:r>
    </w:p>
    <w:p w14:paraId="4CF690E1" w14:textId="6623ACCB" w:rsidR="00125C5A" w:rsidRPr="00FA1542" w:rsidRDefault="00125C5A" w:rsidP="005838FA">
      <w:pPr>
        <w:pStyle w:val="ListParagraph"/>
        <w:numPr>
          <w:ilvl w:val="0"/>
          <w:numId w:val="6"/>
        </w:numPr>
        <w:rPr>
          <w:rFonts w:cstheme="minorHAnsi"/>
          <w:sz w:val="24"/>
          <w:szCs w:val="24"/>
        </w:rPr>
      </w:pPr>
      <w:r w:rsidRPr="00FA1542">
        <w:rPr>
          <w:rFonts w:cstheme="minorHAnsi"/>
          <w:b/>
          <w:bCs/>
          <w:sz w:val="24"/>
          <w:szCs w:val="24"/>
        </w:rPr>
        <w:t>Supporting entrepreneurs and small businesses:</w:t>
      </w:r>
      <w:r w:rsidRPr="00FA1542">
        <w:rPr>
          <w:rFonts w:cstheme="minorHAnsi"/>
          <w:sz w:val="24"/>
          <w:szCs w:val="24"/>
        </w:rPr>
        <w:t xml:space="preserve"> 143 business incubators totaling $4.3 billion</w:t>
      </w:r>
    </w:p>
    <w:p w14:paraId="591AFFA4" w14:textId="2AF0A24B" w:rsidR="00125C5A" w:rsidRPr="00FA1542" w:rsidRDefault="00125C5A" w:rsidP="00FF35A6">
      <w:pPr>
        <w:pStyle w:val="ListParagraph"/>
        <w:numPr>
          <w:ilvl w:val="1"/>
          <w:numId w:val="6"/>
        </w:numPr>
        <w:rPr>
          <w:rFonts w:cstheme="minorHAnsi"/>
          <w:sz w:val="24"/>
          <w:szCs w:val="24"/>
        </w:rPr>
      </w:pPr>
      <w:r w:rsidRPr="00FA1542">
        <w:rPr>
          <w:rFonts w:cstheme="minorHAnsi"/>
          <w:sz w:val="24"/>
          <w:szCs w:val="24"/>
        </w:rPr>
        <w:t>1,160 NMTC projects</w:t>
      </w:r>
      <w:r w:rsidR="00FF35A6" w:rsidRPr="00FA1542">
        <w:rPr>
          <w:rFonts w:cstheme="minorHAnsi"/>
          <w:sz w:val="24"/>
          <w:szCs w:val="24"/>
        </w:rPr>
        <w:t xml:space="preserve"> (15 percent)</w:t>
      </w:r>
      <w:r w:rsidRPr="00FA1542">
        <w:rPr>
          <w:rFonts w:cstheme="minorHAnsi"/>
          <w:sz w:val="24"/>
          <w:szCs w:val="24"/>
        </w:rPr>
        <w:t xml:space="preserve"> involve loans and investments </w:t>
      </w:r>
      <w:r w:rsidR="00B27B28">
        <w:rPr>
          <w:rFonts w:cstheme="minorHAnsi"/>
          <w:sz w:val="24"/>
          <w:szCs w:val="24"/>
        </w:rPr>
        <w:t xml:space="preserve">to small businesses </w:t>
      </w:r>
      <w:r w:rsidRPr="00FA1542">
        <w:rPr>
          <w:rFonts w:cstheme="minorHAnsi"/>
          <w:sz w:val="24"/>
          <w:szCs w:val="24"/>
        </w:rPr>
        <w:t>of $</w:t>
      </w:r>
      <w:r w:rsidR="00FF35A6" w:rsidRPr="00FA1542">
        <w:rPr>
          <w:rFonts w:cstheme="minorHAnsi"/>
          <w:sz w:val="24"/>
          <w:szCs w:val="24"/>
        </w:rPr>
        <w:t>500,000</w:t>
      </w:r>
      <w:r w:rsidRPr="00FA1542">
        <w:rPr>
          <w:rFonts w:cstheme="minorHAnsi"/>
          <w:sz w:val="24"/>
          <w:szCs w:val="24"/>
        </w:rPr>
        <w:t xml:space="preserve"> or less</w:t>
      </w:r>
    </w:p>
    <w:p w14:paraId="5F348652" w14:textId="64482DAE"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 xml:space="preserve">Job creation: </w:t>
      </w:r>
      <w:r w:rsidR="009A7F91" w:rsidRPr="00FA1542">
        <w:rPr>
          <w:rFonts w:cstheme="minorHAnsi"/>
          <w:b/>
          <w:bCs/>
          <w:sz w:val="24"/>
          <w:szCs w:val="24"/>
        </w:rPr>
        <w:t xml:space="preserve">Directly created </w:t>
      </w:r>
      <w:r w:rsidR="009A7F91" w:rsidRPr="0013522E">
        <w:rPr>
          <w:rFonts w:cstheme="minorHAnsi"/>
          <w:sz w:val="24"/>
          <w:szCs w:val="24"/>
        </w:rPr>
        <w:t>o</w:t>
      </w:r>
      <w:r w:rsidRPr="0013522E">
        <w:rPr>
          <w:rFonts w:cstheme="minorHAnsi"/>
          <w:sz w:val="24"/>
          <w:szCs w:val="24"/>
        </w:rPr>
        <w:t>ver</w:t>
      </w:r>
      <w:r w:rsidRPr="00FA1542">
        <w:rPr>
          <w:rFonts w:cstheme="minorHAnsi"/>
          <w:sz w:val="24"/>
          <w:szCs w:val="24"/>
        </w:rPr>
        <w:t xml:space="preserve"> 1,000,000 jobs</w:t>
      </w:r>
      <w:r w:rsidR="009A7F91" w:rsidRPr="00FA1542">
        <w:rPr>
          <w:rFonts w:cstheme="minorHAnsi"/>
          <w:sz w:val="24"/>
          <w:szCs w:val="24"/>
        </w:rPr>
        <w:t>.</w:t>
      </w:r>
    </w:p>
    <w:p w14:paraId="6259D281" w14:textId="05A58A0E"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Targeting concentrated poverty:</w:t>
      </w:r>
      <w:r w:rsidRPr="00FA1542">
        <w:rPr>
          <w:rFonts w:cstheme="minorHAnsi"/>
          <w:sz w:val="24"/>
          <w:szCs w:val="24"/>
        </w:rPr>
        <w:t xml:space="preserve"> In 20</w:t>
      </w:r>
      <w:r w:rsidR="0013522E">
        <w:rPr>
          <w:rFonts w:cstheme="minorHAnsi"/>
          <w:sz w:val="24"/>
          <w:szCs w:val="24"/>
        </w:rPr>
        <w:t>20</w:t>
      </w:r>
      <w:r w:rsidRPr="00FA1542">
        <w:rPr>
          <w:rFonts w:cstheme="minorHAnsi"/>
          <w:sz w:val="24"/>
          <w:szCs w:val="24"/>
        </w:rPr>
        <w:t xml:space="preserve">, </w:t>
      </w:r>
      <w:r w:rsidR="0013522E">
        <w:rPr>
          <w:rFonts w:cstheme="minorHAnsi"/>
          <w:sz w:val="24"/>
          <w:szCs w:val="24"/>
        </w:rPr>
        <w:t xml:space="preserve">nearly </w:t>
      </w:r>
      <w:r w:rsidRPr="00FA1542">
        <w:rPr>
          <w:rFonts w:cstheme="minorHAnsi"/>
          <w:sz w:val="24"/>
          <w:szCs w:val="24"/>
        </w:rPr>
        <w:t>80 percent proj</w:t>
      </w:r>
      <w:r w:rsidR="009A7F91" w:rsidRPr="00FA1542">
        <w:rPr>
          <w:rFonts w:cstheme="minorHAnsi"/>
          <w:sz w:val="24"/>
          <w:szCs w:val="24"/>
        </w:rPr>
        <w:t>ects were in</w:t>
      </w:r>
      <w:r w:rsidRPr="00FA1542">
        <w:rPr>
          <w:rFonts w:cstheme="minorHAnsi"/>
          <w:sz w:val="24"/>
          <w:szCs w:val="24"/>
        </w:rPr>
        <w:t xml:space="preserve"> </w:t>
      </w:r>
      <w:r w:rsidR="009A7F91" w:rsidRPr="00FA1542">
        <w:rPr>
          <w:rFonts w:cstheme="minorHAnsi"/>
          <w:sz w:val="24"/>
          <w:szCs w:val="24"/>
        </w:rPr>
        <w:t>severely distressed areas.</w:t>
      </w:r>
    </w:p>
    <w:p w14:paraId="772B1F25" w14:textId="175A7025" w:rsidR="005838FA" w:rsidRPr="00FA1542" w:rsidRDefault="005838FA" w:rsidP="005838FA">
      <w:pPr>
        <w:pStyle w:val="ListParagraph"/>
        <w:numPr>
          <w:ilvl w:val="0"/>
          <w:numId w:val="6"/>
        </w:numPr>
        <w:tabs>
          <w:tab w:val="left" w:pos="180"/>
          <w:tab w:val="left" w:pos="270"/>
          <w:tab w:val="left" w:pos="720"/>
        </w:tabs>
        <w:rPr>
          <w:rFonts w:cstheme="minorHAnsi"/>
          <w:color w:val="000000"/>
          <w:sz w:val="24"/>
          <w:szCs w:val="24"/>
        </w:rPr>
      </w:pPr>
      <w:r w:rsidRPr="00FA1542">
        <w:rPr>
          <w:rFonts w:cstheme="minorHAnsi"/>
          <w:b/>
          <w:color w:val="000000"/>
          <w:sz w:val="24"/>
          <w:szCs w:val="24"/>
        </w:rPr>
        <w:lastRenderedPageBreak/>
        <w:t>Supporting rural America:</w:t>
      </w:r>
      <w:r w:rsidRPr="00FA1542">
        <w:rPr>
          <w:rFonts w:cstheme="minorHAnsi"/>
          <w:color w:val="000000"/>
          <w:sz w:val="24"/>
          <w:szCs w:val="24"/>
        </w:rPr>
        <w:t xml:space="preserve"> In 20</w:t>
      </w:r>
      <w:r w:rsidR="0013522E">
        <w:rPr>
          <w:rFonts w:cstheme="minorHAnsi"/>
          <w:color w:val="000000"/>
          <w:sz w:val="24"/>
          <w:szCs w:val="24"/>
        </w:rPr>
        <w:t>20</w:t>
      </w:r>
      <w:r w:rsidRPr="00FA1542">
        <w:rPr>
          <w:rFonts w:cstheme="minorHAnsi"/>
          <w:color w:val="000000"/>
          <w:sz w:val="24"/>
          <w:szCs w:val="24"/>
        </w:rPr>
        <w:t>, over 2</w:t>
      </w:r>
      <w:r w:rsidR="0013522E">
        <w:rPr>
          <w:rFonts w:cstheme="minorHAnsi"/>
          <w:color w:val="000000"/>
          <w:sz w:val="24"/>
          <w:szCs w:val="24"/>
        </w:rPr>
        <w:t>0</w:t>
      </w:r>
      <w:r w:rsidRPr="00FA1542">
        <w:rPr>
          <w:rFonts w:cstheme="minorHAnsi"/>
          <w:color w:val="000000"/>
          <w:sz w:val="24"/>
          <w:szCs w:val="24"/>
        </w:rPr>
        <w:t xml:space="preserve"> percent of NMTC projects were in rural areas.</w:t>
      </w:r>
    </w:p>
    <w:p w14:paraId="7903B8E5" w14:textId="20DC4D47" w:rsidR="00FA1542" w:rsidRPr="00FA1542" w:rsidRDefault="00FA1542" w:rsidP="00FA1542">
      <w:pPr>
        <w:pStyle w:val="Heading2"/>
      </w:pPr>
      <w:r>
        <w:t xml:space="preserve">Additional </w:t>
      </w:r>
      <w:r w:rsidRPr="00FA1542">
        <w:t>General Talking Points</w:t>
      </w:r>
    </w:p>
    <w:p w14:paraId="658B1540" w14:textId="3DF9FBA1"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 xml:space="preserve">The NMTC increases the flow of capital to businesses and low-income communities by providing a modest tax incentive to private investors. The NMTC has proven to be an effective, </w:t>
      </w:r>
      <w:proofErr w:type="gramStart"/>
      <w:r w:rsidRPr="00FA1542">
        <w:rPr>
          <w:rFonts w:eastAsia="Times New Roman" w:cstheme="minorHAnsi"/>
          <w:color w:val="333333"/>
          <w:sz w:val="24"/>
          <w:szCs w:val="24"/>
        </w:rPr>
        <w:t>targeted</w:t>
      </w:r>
      <w:proofErr w:type="gramEnd"/>
      <w:r w:rsidRPr="00FA1542">
        <w:rPr>
          <w:rFonts w:eastAsia="Times New Roman" w:cstheme="minorHAnsi"/>
          <w:color w:val="333333"/>
          <w:sz w:val="24"/>
          <w:szCs w:val="24"/>
        </w:rPr>
        <w:t xml:space="preserve"> and cost-efficient financing tool valued by businesses, communities.</w:t>
      </w:r>
    </w:p>
    <w:p w14:paraId="23BB1EC1" w14:textId="77777777"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From business expansions to new healthcare and childcare facilities, the NMTC program was designed as a flexible incentive for economic development that meets evolving community needs</w:t>
      </w:r>
      <w:r w:rsidRPr="00FA1542">
        <w:rPr>
          <w:rFonts w:eastAsia="Times New Roman" w:cstheme="minorHAnsi"/>
          <w:b/>
          <w:bCs/>
          <w:color w:val="333333"/>
          <w:sz w:val="24"/>
          <w:szCs w:val="24"/>
        </w:rPr>
        <w:t>. Instead of Washington picking winners and losers, the New Markets Tax Credit empowers local decision-making on important economic development projects.</w:t>
      </w:r>
      <w:r w:rsidRPr="00FA1542">
        <w:rPr>
          <w:rFonts w:eastAsia="Times New Roman" w:cstheme="minorHAnsi"/>
          <w:color w:val="333333"/>
          <w:sz w:val="24"/>
          <w:szCs w:val="24"/>
        </w:rPr>
        <w:t> The nonprofit and industry sectors receiving NMTC financing are diverse, reflecting a cross-section of the American economy.</w:t>
      </w:r>
    </w:p>
    <w:p w14:paraId="5C97982B" w14:textId="77777777"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A 2017 evaluation and compliance study of the NMTC by the Summit Foundation found that program award winners are lowering the cost of capital in low-income communities, targeting areas of deep economic distress, and far exceeding the program requirements.</w:t>
      </w:r>
    </w:p>
    <w:p w14:paraId="6409AC0B" w14:textId="4D46E5D8"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b/>
          <w:bCs/>
          <w:color w:val="333333"/>
          <w:sz w:val="24"/>
          <w:szCs w:val="24"/>
        </w:rPr>
        <w:t>While the economy is improving, the cost of capital remains high in severely distressed communities. </w:t>
      </w:r>
      <w:r w:rsidRPr="00FA1542">
        <w:rPr>
          <w:rFonts w:eastAsia="Times New Roman" w:cstheme="minorHAnsi"/>
          <w:color w:val="333333"/>
          <w:sz w:val="24"/>
          <w:szCs w:val="24"/>
        </w:rPr>
        <w:t>The NMTC is a bipartisan solution for economic development in communities hit hardest by economic downturns and the dwindling job opportunities. We should invest in federal programs that work, and the NMTC fits that bill.</w:t>
      </w:r>
    </w:p>
    <w:sectPr w:rsidR="00FA1542" w:rsidRPr="00FA1542" w:rsidSect="00FA154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54B0" w14:textId="77777777" w:rsidR="00051BCE" w:rsidRDefault="00051BCE" w:rsidP="005838FA">
      <w:pPr>
        <w:spacing w:after="0" w:line="240" w:lineRule="auto"/>
      </w:pPr>
      <w:r>
        <w:separator/>
      </w:r>
    </w:p>
  </w:endnote>
  <w:endnote w:type="continuationSeparator" w:id="0">
    <w:p w14:paraId="27C33C42" w14:textId="77777777" w:rsidR="00051BCE" w:rsidRDefault="00051BCE" w:rsidP="0058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59A6" w14:textId="77777777" w:rsidR="00051BCE" w:rsidRDefault="00051BCE" w:rsidP="005838FA">
      <w:pPr>
        <w:spacing w:after="0" w:line="240" w:lineRule="auto"/>
      </w:pPr>
      <w:r>
        <w:separator/>
      </w:r>
    </w:p>
  </w:footnote>
  <w:footnote w:type="continuationSeparator" w:id="0">
    <w:p w14:paraId="5473F9AB" w14:textId="77777777" w:rsidR="00051BCE" w:rsidRDefault="00051BCE" w:rsidP="0058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7D36" w14:textId="1EFB5F7C" w:rsidR="00FA1542" w:rsidRDefault="00FA1542" w:rsidP="00FA15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BBB" w14:textId="2C8ACF45" w:rsidR="00FA1542" w:rsidRDefault="00FA1542" w:rsidP="00FA1542">
    <w:pPr>
      <w:pStyle w:val="Header"/>
      <w:jc w:val="center"/>
    </w:pPr>
    <w:r>
      <w:rPr>
        <w:noProof/>
      </w:rPr>
      <w:drawing>
        <wp:inline distT="0" distB="0" distL="0" distR="0" wp14:anchorId="643E5EE2" wp14:editId="47CAF59E">
          <wp:extent cx="2960163" cy="823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06129" cy="836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F73"/>
    <w:multiLevelType w:val="hybridMultilevel"/>
    <w:tmpl w:val="4958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950A3"/>
    <w:multiLevelType w:val="hybridMultilevel"/>
    <w:tmpl w:val="5E7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764"/>
    <w:multiLevelType w:val="hybridMultilevel"/>
    <w:tmpl w:val="E6DC3A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BE3371"/>
    <w:multiLevelType w:val="hybridMultilevel"/>
    <w:tmpl w:val="B7B6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347F"/>
    <w:multiLevelType w:val="hybridMultilevel"/>
    <w:tmpl w:val="2B6E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06811"/>
    <w:multiLevelType w:val="multilevel"/>
    <w:tmpl w:val="5E2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00F7C"/>
    <w:multiLevelType w:val="hybridMultilevel"/>
    <w:tmpl w:val="E892B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76ED"/>
    <w:multiLevelType w:val="hybridMultilevel"/>
    <w:tmpl w:val="6DF0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B55A22"/>
    <w:multiLevelType w:val="hybridMultilevel"/>
    <w:tmpl w:val="359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C2BB8"/>
    <w:multiLevelType w:val="hybridMultilevel"/>
    <w:tmpl w:val="374A9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E0941"/>
    <w:multiLevelType w:val="multilevel"/>
    <w:tmpl w:val="63D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8670A"/>
    <w:multiLevelType w:val="hybridMultilevel"/>
    <w:tmpl w:val="B524A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E2B32"/>
    <w:multiLevelType w:val="hybridMultilevel"/>
    <w:tmpl w:val="08AC1FBE"/>
    <w:lvl w:ilvl="0" w:tplc="0409000F">
      <w:start w:val="1"/>
      <w:numFmt w:val="decimal"/>
      <w:lvlText w:val="%1."/>
      <w:lvlJc w:val="left"/>
      <w:pPr>
        <w:ind w:left="720" w:hanging="360"/>
      </w:pPr>
      <w:rPr>
        <w:rFonts w:hint="default"/>
        <w:b/>
        <w:i w:val="0"/>
        <w:iCs w:val="0"/>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B0D05"/>
    <w:multiLevelType w:val="hybridMultilevel"/>
    <w:tmpl w:val="773A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5335A"/>
    <w:multiLevelType w:val="hybridMultilevel"/>
    <w:tmpl w:val="A93CF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21352"/>
    <w:multiLevelType w:val="hybridMultilevel"/>
    <w:tmpl w:val="BBA6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251D1"/>
    <w:multiLevelType w:val="hybridMultilevel"/>
    <w:tmpl w:val="1A00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CC625B"/>
    <w:multiLevelType w:val="hybridMultilevel"/>
    <w:tmpl w:val="F18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C5723"/>
    <w:multiLevelType w:val="hybridMultilevel"/>
    <w:tmpl w:val="360A6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20641"/>
    <w:multiLevelType w:val="hybridMultilevel"/>
    <w:tmpl w:val="EDBC0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FD6343"/>
    <w:multiLevelType w:val="hybridMultilevel"/>
    <w:tmpl w:val="847281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327792E"/>
    <w:multiLevelType w:val="hybridMultilevel"/>
    <w:tmpl w:val="89B2E494"/>
    <w:lvl w:ilvl="0" w:tplc="5C64C81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F1E50"/>
    <w:multiLevelType w:val="hybridMultilevel"/>
    <w:tmpl w:val="CA8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769499">
    <w:abstractNumId w:val="7"/>
  </w:num>
  <w:num w:numId="2" w16cid:durableId="1744642119">
    <w:abstractNumId w:val="18"/>
  </w:num>
  <w:num w:numId="3" w16cid:durableId="400904231">
    <w:abstractNumId w:val="11"/>
  </w:num>
  <w:num w:numId="4" w16cid:durableId="1341005343">
    <w:abstractNumId w:val="9"/>
  </w:num>
  <w:num w:numId="5" w16cid:durableId="1335301936">
    <w:abstractNumId w:val="12"/>
  </w:num>
  <w:num w:numId="6" w16cid:durableId="622226940">
    <w:abstractNumId w:val="15"/>
  </w:num>
  <w:num w:numId="7" w16cid:durableId="1398166427">
    <w:abstractNumId w:val="4"/>
  </w:num>
  <w:num w:numId="8" w16cid:durableId="1524392052">
    <w:abstractNumId w:val="16"/>
  </w:num>
  <w:num w:numId="9" w16cid:durableId="849101755">
    <w:abstractNumId w:val="10"/>
  </w:num>
  <w:num w:numId="10" w16cid:durableId="921570230">
    <w:abstractNumId w:val="0"/>
  </w:num>
  <w:num w:numId="11" w16cid:durableId="2142528971">
    <w:abstractNumId w:val="8"/>
  </w:num>
  <w:num w:numId="12" w16cid:durableId="810488939">
    <w:abstractNumId w:val="14"/>
  </w:num>
  <w:num w:numId="13" w16cid:durableId="611979580">
    <w:abstractNumId w:val="1"/>
  </w:num>
  <w:num w:numId="14" w16cid:durableId="726612146">
    <w:abstractNumId w:val="13"/>
  </w:num>
  <w:num w:numId="15" w16cid:durableId="518199144">
    <w:abstractNumId w:val="6"/>
  </w:num>
  <w:num w:numId="16" w16cid:durableId="814416788">
    <w:abstractNumId w:val="3"/>
  </w:num>
  <w:num w:numId="17" w16cid:durableId="2055419109">
    <w:abstractNumId w:val="19"/>
  </w:num>
  <w:num w:numId="18" w16cid:durableId="918060280">
    <w:abstractNumId w:val="5"/>
  </w:num>
  <w:num w:numId="19" w16cid:durableId="1019819986">
    <w:abstractNumId w:val="17"/>
  </w:num>
  <w:num w:numId="20" w16cid:durableId="984511411">
    <w:abstractNumId w:val="21"/>
  </w:num>
  <w:num w:numId="21" w16cid:durableId="2059426794">
    <w:abstractNumId w:val="20"/>
  </w:num>
  <w:num w:numId="22" w16cid:durableId="1172256163">
    <w:abstractNumId w:val="22"/>
  </w:num>
  <w:num w:numId="23" w16cid:durableId="296224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DE3NTE0MTQwsbBQ0lEKTi0uzszPAymwqAUAAx0i7CwAAAA="/>
  </w:docVars>
  <w:rsids>
    <w:rsidRoot w:val="0047610E"/>
    <w:rsid w:val="00051BCE"/>
    <w:rsid w:val="00065DEE"/>
    <w:rsid w:val="00072B0A"/>
    <w:rsid w:val="000F060D"/>
    <w:rsid w:val="00125C5A"/>
    <w:rsid w:val="0013522E"/>
    <w:rsid w:val="00202D98"/>
    <w:rsid w:val="00247412"/>
    <w:rsid w:val="00307E3D"/>
    <w:rsid w:val="004127EF"/>
    <w:rsid w:val="004542E2"/>
    <w:rsid w:val="0047610E"/>
    <w:rsid w:val="004D55CE"/>
    <w:rsid w:val="005838FA"/>
    <w:rsid w:val="00597F8E"/>
    <w:rsid w:val="007611E4"/>
    <w:rsid w:val="007D3275"/>
    <w:rsid w:val="00872D96"/>
    <w:rsid w:val="009A0AAE"/>
    <w:rsid w:val="009A64A8"/>
    <w:rsid w:val="009A7F91"/>
    <w:rsid w:val="00A41389"/>
    <w:rsid w:val="00B27B28"/>
    <w:rsid w:val="00B8645B"/>
    <w:rsid w:val="00BA2F5F"/>
    <w:rsid w:val="00BB526F"/>
    <w:rsid w:val="00D31E2F"/>
    <w:rsid w:val="00E36433"/>
    <w:rsid w:val="00E43BBC"/>
    <w:rsid w:val="00E85ECC"/>
    <w:rsid w:val="00EA3138"/>
    <w:rsid w:val="00ED231B"/>
    <w:rsid w:val="00ED324D"/>
    <w:rsid w:val="00F4587A"/>
    <w:rsid w:val="00F94EDA"/>
    <w:rsid w:val="00FA1542"/>
    <w:rsid w:val="00FF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609FB"/>
  <w15:chartTrackingRefBased/>
  <w15:docId w15:val="{3C45B88D-2021-429C-BADA-3D5ECCB2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FA"/>
    <w:pPr>
      <w:ind w:left="720"/>
      <w:contextualSpacing/>
    </w:pPr>
  </w:style>
  <w:style w:type="character" w:styleId="FootnoteReference">
    <w:name w:val="footnote reference"/>
    <w:uiPriority w:val="99"/>
    <w:qFormat/>
    <w:rsid w:val="005838FA"/>
    <w:rPr>
      <w:vertAlign w:val="superscript"/>
    </w:rPr>
  </w:style>
  <w:style w:type="paragraph" w:styleId="FootnoteText">
    <w:name w:val="footnote text"/>
    <w:basedOn w:val="Normal"/>
    <w:link w:val="FootnoteTextChar"/>
    <w:uiPriority w:val="99"/>
    <w:rsid w:val="005838F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5838FA"/>
    <w:rPr>
      <w:rFonts w:ascii="Calibri" w:eastAsia="Times New Roman" w:hAnsi="Calibri" w:cs="Times New Roman"/>
      <w:sz w:val="20"/>
      <w:szCs w:val="20"/>
    </w:rPr>
  </w:style>
  <w:style w:type="table" w:styleId="TableGrid">
    <w:name w:val="Table Grid"/>
    <w:basedOn w:val="TableNormal"/>
    <w:uiPriority w:val="39"/>
    <w:rsid w:val="0058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8FA"/>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30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307E3D"/>
  </w:style>
  <w:style w:type="character" w:styleId="Hyperlink">
    <w:name w:val="Hyperlink"/>
    <w:basedOn w:val="DefaultParagraphFont"/>
    <w:uiPriority w:val="99"/>
    <w:unhideWhenUsed/>
    <w:rsid w:val="00065DEE"/>
    <w:rPr>
      <w:color w:val="0563C1" w:themeColor="hyperlink"/>
      <w:u w:val="single"/>
    </w:rPr>
  </w:style>
  <w:style w:type="character" w:styleId="UnresolvedMention">
    <w:name w:val="Unresolved Mention"/>
    <w:basedOn w:val="DefaultParagraphFont"/>
    <w:uiPriority w:val="99"/>
    <w:semiHidden/>
    <w:unhideWhenUsed/>
    <w:rsid w:val="00065DEE"/>
    <w:rPr>
      <w:color w:val="605E5C"/>
      <w:shd w:val="clear" w:color="auto" w:fill="E1DFDD"/>
    </w:rPr>
  </w:style>
  <w:style w:type="character" w:customStyle="1" w:styleId="Heading2Char">
    <w:name w:val="Heading 2 Char"/>
    <w:basedOn w:val="DefaultParagraphFont"/>
    <w:link w:val="Heading2"/>
    <w:uiPriority w:val="9"/>
    <w:rsid w:val="00065DE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72B0A"/>
    <w:pPr>
      <w:spacing w:after="0" w:line="240" w:lineRule="auto"/>
    </w:pPr>
  </w:style>
  <w:style w:type="character" w:styleId="Strong">
    <w:name w:val="Strong"/>
    <w:basedOn w:val="DefaultParagraphFont"/>
    <w:uiPriority w:val="22"/>
    <w:qFormat/>
    <w:rsid w:val="00FA1542"/>
    <w:rPr>
      <w:b/>
      <w:bCs/>
    </w:rPr>
  </w:style>
  <w:style w:type="paragraph" w:styleId="Header">
    <w:name w:val="header"/>
    <w:basedOn w:val="Normal"/>
    <w:link w:val="HeaderChar"/>
    <w:uiPriority w:val="99"/>
    <w:unhideWhenUsed/>
    <w:rsid w:val="00F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42"/>
  </w:style>
  <w:style w:type="paragraph" w:styleId="Footer">
    <w:name w:val="footer"/>
    <w:basedOn w:val="Normal"/>
    <w:link w:val="FooterChar"/>
    <w:uiPriority w:val="99"/>
    <w:unhideWhenUsed/>
    <w:rsid w:val="00F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605">
      <w:bodyDiv w:val="1"/>
      <w:marLeft w:val="0"/>
      <w:marRight w:val="0"/>
      <w:marTop w:val="0"/>
      <w:marBottom w:val="0"/>
      <w:divBdr>
        <w:top w:val="none" w:sz="0" w:space="0" w:color="auto"/>
        <w:left w:val="none" w:sz="0" w:space="0" w:color="auto"/>
        <w:bottom w:val="none" w:sz="0" w:space="0" w:color="auto"/>
        <w:right w:val="none" w:sz="0" w:space="0" w:color="auto"/>
      </w:divBdr>
    </w:div>
    <w:div w:id="172455364">
      <w:bodyDiv w:val="1"/>
      <w:marLeft w:val="0"/>
      <w:marRight w:val="0"/>
      <w:marTop w:val="0"/>
      <w:marBottom w:val="0"/>
      <w:divBdr>
        <w:top w:val="none" w:sz="0" w:space="0" w:color="auto"/>
        <w:left w:val="none" w:sz="0" w:space="0" w:color="auto"/>
        <w:bottom w:val="none" w:sz="0" w:space="0" w:color="auto"/>
        <w:right w:val="none" w:sz="0" w:space="0" w:color="auto"/>
      </w:divBdr>
    </w:div>
    <w:div w:id="812983801">
      <w:bodyDiv w:val="1"/>
      <w:marLeft w:val="0"/>
      <w:marRight w:val="0"/>
      <w:marTop w:val="0"/>
      <w:marBottom w:val="0"/>
      <w:divBdr>
        <w:top w:val="none" w:sz="0" w:space="0" w:color="auto"/>
        <w:left w:val="none" w:sz="0" w:space="0" w:color="auto"/>
        <w:bottom w:val="none" w:sz="0" w:space="0" w:color="auto"/>
        <w:right w:val="none" w:sz="0" w:space="0" w:color="auto"/>
      </w:divBdr>
      <w:divsChild>
        <w:div w:id="939139478">
          <w:marLeft w:val="0"/>
          <w:marRight w:val="0"/>
          <w:marTop w:val="0"/>
          <w:marBottom w:val="225"/>
          <w:divBdr>
            <w:top w:val="none" w:sz="0" w:space="0" w:color="auto"/>
            <w:left w:val="none" w:sz="0" w:space="0" w:color="auto"/>
            <w:bottom w:val="none" w:sz="0" w:space="0" w:color="auto"/>
            <w:right w:val="none" w:sz="0" w:space="0" w:color="auto"/>
          </w:divBdr>
          <w:divsChild>
            <w:div w:id="1076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tccoalition.org/extension-bil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mtccoalition.org/sign-on-lett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9B39-3EAE-4669-9E56-855B806A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2</cp:revision>
  <dcterms:created xsi:type="dcterms:W3CDTF">2022-05-03T14:15:00Z</dcterms:created>
  <dcterms:modified xsi:type="dcterms:W3CDTF">2022-05-03T14:15:00Z</dcterms:modified>
</cp:coreProperties>
</file>